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Cs w:val="18"/>
          <w:u w:val="single"/>
        </w:rPr>
      </w:pPr>
    </w:p>
    <w:p>
      <w:pPr>
        <w:spacing w:line="360" w:lineRule="auto"/>
        <w:jc w:val="center"/>
        <w:rPr>
          <w:rFonts w:ascii="华文新魏" w:hAnsi="华文中宋" w:eastAsia="黑体"/>
          <w:bCs/>
          <w:spacing w:val="40"/>
          <w:sz w:val="44"/>
        </w:rPr>
      </w:pPr>
      <w:r>
        <w:rPr>
          <w:rFonts w:hint="eastAsia" w:ascii="华文新魏" w:hAnsi="华文中宋" w:eastAsia="黑体"/>
          <w:bCs/>
          <w:spacing w:val="40"/>
          <w:sz w:val="44"/>
        </w:rPr>
        <w:t>招</w:t>
      </w:r>
      <w:r>
        <w:rPr>
          <w:rFonts w:ascii="华文新魏" w:hAnsi="华文中宋" w:eastAsia="黑体"/>
          <w:bCs/>
          <w:spacing w:val="40"/>
          <w:sz w:val="44"/>
        </w:rPr>
        <w:t xml:space="preserve"> </w:t>
      </w:r>
      <w:r>
        <w:rPr>
          <w:rFonts w:hint="eastAsia" w:ascii="华文新魏" w:hAnsi="华文中宋" w:eastAsia="黑体"/>
          <w:bCs/>
          <w:spacing w:val="40"/>
          <w:sz w:val="44"/>
        </w:rPr>
        <w:t>标</w:t>
      </w:r>
      <w:r>
        <w:rPr>
          <w:rFonts w:ascii="华文新魏" w:hAnsi="华文中宋" w:eastAsia="黑体"/>
          <w:bCs/>
          <w:spacing w:val="40"/>
          <w:sz w:val="44"/>
        </w:rPr>
        <w:t xml:space="preserve"> </w:t>
      </w:r>
      <w:r>
        <w:rPr>
          <w:rFonts w:hint="eastAsia" w:ascii="华文新魏" w:hAnsi="华文中宋" w:eastAsia="黑体"/>
          <w:bCs/>
          <w:spacing w:val="40"/>
          <w:sz w:val="44"/>
        </w:rPr>
        <w:t>书</w:t>
      </w:r>
    </w:p>
    <w:p>
      <w:pPr>
        <w:spacing w:line="360" w:lineRule="auto"/>
        <w:jc w:val="center"/>
        <w:rPr>
          <w:rFonts w:ascii="华文新魏" w:hAnsi="华文中宋" w:eastAsia="黑体"/>
          <w:bCs/>
          <w:spacing w:val="40"/>
          <w:sz w:val="24"/>
        </w:rPr>
      </w:pPr>
    </w:p>
    <w:p>
      <w:pPr>
        <w:spacing w:line="360" w:lineRule="auto"/>
        <w:jc w:val="center"/>
        <w:rPr>
          <w:rFonts w:ascii="华文新魏" w:hAnsi="华文中宋" w:eastAsia="华文新魏"/>
          <w:bCs/>
          <w:spacing w:val="40"/>
          <w:sz w:val="84"/>
        </w:rPr>
      </w:pPr>
      <w:bookmarkStart w:id="62" w:name="_GoBack"/>
      <w:bookmarkEnd w:id="62"/>
    </w:p>
    <w:p>
      <w:pPr>
        <w:spacing w:line="360" w:lineRule="auto"/>
        <w:jc w:val="center"/>
        <w:rPr>
          <w:rFonts w:ascii="华文新魏" w:hAnsi="华文中宋" w:eastAsia="华文新魏"/>
          <w:bCs/>
          <w:spacing w:val="40"/>
          <w:sz w:val="84"/>
        </w:rPr>
      </w:pPr>
    </w:p>
    <w:p>
      <w:pPr>
        <w:spacing w:line="360" w:lineRule="auto"/>
        <w:ind w:firstLine="321" w:firstLineChars="100"/>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ascii="宋体" w:hAnsi="宋体"/>
          <w:b/>
          <w:bCs/>
          <w:sz w:val="32"/>
          <w:u w:val="single"/>
          <w:lang w:val="en-US" w:eastAsia="zh-CN"/>
        </w:rPr>
        <w:t>C202408004</w:t>
      </w:r>
      <w:r>
        <w:rPr>
          <w:rFonts w:ascii="宋体" w:hAnsi="宋体"/>
          <w:b/>
          <w:bCs/>
          <w:sz w:val="32"/>
          <w:u w:val="single"/>
        </w:rPr>
        <w:t xml:space="preserve">               </w:t>
      </w:r>
    </w:p>
    <w:p>
      <w:pPr>
        <w:spacing w:line="360" w:lineRule="auto"/>
        <w:ind w:firstLine="360" w:firstLineChars="100"/>
        <w:rPr>
          <w:rFonts w:ascii="宋体" w:hAnsi="宋体"/>
          <w:sz w:val="36"/>
        </w:rPr>
      </w:pPr>
    </w:p>
    <w:p>
      <w:pPr>
        <w:spacing w:line="360" w:lineRule="auto"/>
        <w:ind w:firstLine="321" w:firstLineChars="100"/>
        <w:rPr>
          <w:rFonts w:ascii="宋体" w:hAnsi="宋体"/>
          <w:b/>
          <w:bCs/>
          <w:sz w:val="32"/>
        </w:rPr>
      </w:pPr>
      <w:r>
        <w:rPr>
          <w:rFonts w:ascii="宋体" w:hAnsi="宋体"/>
          <w:b/>
          <w:bCs/>
          <w:sz w:val="32"/>
        </w:rPr>
        <w:t>招标项目：</w:t>
      </w:r>
      <w:r>
        <w:rPr>
          <w:rFonts w:ascii="宋体" w:hAnsi="宋体"/>
          <w:b/>
          <w:bCs/>
          <w:sz w:val="32"/>
          <w:u w:val="single"/>
        </w:rPr>
        <w:t xml:space="preserve">   民生保险采购管理系统项目</w:t>
      </w:r>
      <w:r>
        <w:rPr>
          <w:rFonts w:hint="eastAsia" w:ascii="宋体" w:hAnsi="宋体"/>
          <w:b/>
          <w:bCs/>
          <w:sz w:val="32"/>
          <w:u w:val="single"/>
          <w:lang w:val="en-US" w:eastAsia="zh-CN"/>
        </w:rPr>
        <w:t xml:space="preserve"> </w:t>
      </w:r>
      <w:r>
        <w:rPr>
          <w:rFonts w:ascii="宋体" w:hAnsi="宋体"/>
          <w:b/>
          <w:bCs/>
          <w:sz w:val="32"/>
          <w:u w:val="single"/>
        </w:rPr>
        <w:t xml:space="preserve"> </w:t>
      </w:r>
    </w:p>
    <w:p>
      <w:pPr>
        <w:spacing w:line="360" w:lineRule="auto"/>
        <w:ind w:firstLine="360" w:firstLineChars="100"/>
        <w:rPr>
          <w:rFonts w:ascii="宋体" w:hAnsi="华文中宋"/>
          <w:bCs/>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spacing w:line="360" w:lineRule="auto"/>
        <w:ind w:firstLine="440" w:firstLineChars="100"/>
        <w:rPr>
          <w:rFonts w:ascii="华文新魏" w:hAnsi="华文中宋" w:eastAsia="华文新魏"/>
          <w:bCs/>
          <w:spacing w:val="40"/>
          <w:sz w:val="36"/>
        </w:rPr>
      </w:pPr>
    </w:p>
    <w:p>
      <w:pPr>
        <w:tabs>
          <w:tab w:val="left" w:pos="2415"/>
        </w:tabs>
        <w:spacing w:line="360" w:lineRule="auto"/>
        <w:ind w:firstLine="440" w:firstLineChars="100"/>
        <w:rPr>
          <w:rFonts w:ascii="宋体" w:hAnsi="宋体"/>
          <w:bCs/>
          <w:spacing w:val="40"/>
          <w:sz w:val="32"/>
        </w:rPr>
      </w:pPr>
      <w:r>
        <w:rPr>
          <w:rFonts w:ascii="华文新魏" w:hAnsi="华文中宋" w:eastAsia="华文新魏"/>
          <w:bCs/>
          <w:spacing w:val="40"/>
          <w:sz w:val="36"/>
        </w:rPr>
        <w:tab/>
      </w:r>
    </w:p>
    <w:p>
      <w:pPr>
        <w:wordWrap w:val="0"/>
        <w:spacing w:line="360" w:lineRule="auto"/>
        <w:ind w:firstLine="321" w:firstLineChars="100"/>
        <w:jc w:val="right"/>
        <w:rPr>
          <w:rFonts w:ascii="宋体" w:hAnsi="宋体"/>
          <w:b/>
          <w:bCs/>
          <w:sz w:val="32"/>
        </w:rPr>
      </w:pPr>
      <w:r>
        <w:rPr>
          <w:rFonts w:hint="eastAsia" w:ascii="宋体" w:hAnsi="宋体"/>
          <w:b/>
          <w:bCs/>
          <w:sz w:val="32"/>
        </w:rPr>
        <w:t>招标人：</w:t>
      </w:r>
      <w:r>
        <w:rPr>
          <w:rFonts w:ascii="宋体" w:hAnsi="宋体"/>
          <w:b/>
          <w:bCs/>
          <w:sz w:val="32"/>
          <w:u w:val="single"/>
        </w:rPr>
        <w:t xml:space="preserve"> </w:t>
      </w:r>
      <w:r>
        <w:rPr>
          <w:rFonts w:hint="eastAsia" w:ascii="宋体" w:hAnsi="宋体"/>
          <w:sz w:val="32"/>
          <w:szCs w:val="32"/>
          <w:u w:val="single"/>
        </w:rPr>
        <w:t>民生人寿保险股份有限公司</w:t>
      </w:r>
      <w:r>
        <w:rPr>
          <w:rFonts w:ascii="宋体" w:hAnsi="宋体"/>
          <w:b/>
          <w:bCs/>
          <w:sz w:val="32"/>
          <w:u w:val="single"/>
        </w:rPr>
        <w:t xml:space="preserve"> </w:t>
      </w:r>
      <w:r>
        <w:rPr>
          <w:rFonts w:ascii="宋体" w:hAnsi="宋体"/>
          <w:b/>
          <w:bCs/>
          <w:sz w:val="32"/>
        </w:rPr>
        <w:t xml:space="preserve"> </w:t>
      </w:r>
    </w:p>
    <w:p>
      <w:pPr>
        <w:spacing w:line="360" w:lineRule="auto"/>
        <w:ind w:firstLine="321" w:firstLineChars="100"/>
        <w:jc w:val="center"/>
        <w:rPr>
          <w:rFonts w:ascii="宋体" w:hAnsi="宋体"/>
          <w:b/>
          <w:bCs/>
          <w:sz w:val="32"/>
        </w:rPr>
      </w:pPr>
      <w:r>
        <w:rPr>
          <w:rFonts w:hint="eastAsia" w:ascii="宋体" w:hAnsi="宋体"/>
          <w:b/>
          <w:bCs/>
          <w:sz w:val="32"/>
        </w:rPr>
        <w:t xml:space="preserve">                                  </w:t>
      </w:r>
    </w:p>
    <w:p>
      <w:pPr>
        <w:spacing w:line="360" w:lineRule="auto"/>
        <w:rPr>
          <w:rFonts w:ascii="宋体" w:hAnsi="宋体"/>
          <w:b/>
          <w:sz w:val="32"/>
        </w:rPr>
      </w:pPr>
      <w:r>
        <w:rPr>
          <w:rFonts w:ascii="宋体" w:hAnsi="宋体"/>
          <w:b/>
          <w:sz w:val="32"/>
        </w:rPr>
        <w:t xml:space="preserve">                            </w:t>
      </w:r>
      <w:r>
        <w:rPr>
          <w:rFonts w:ascii="宋体" w:hAnsi="宋体"/>
          <w:b/>
          <w:sz w:val="32"/>
          <w:u w:val="single"/>
        </w:rPr>
        <w:t xml:space="preserve">  </w:t>
      </w:r>
      <w:r>
        <w:rPr>
          <w:rFonts w:hint="eastAsia" w:ascii="宋体" w:hAnsi="宋体"/>
          <w:b/>
          <w:sz w:val="32"/>
          <w:u w:val="single"/>
          <w:lang w:val="en-US" w:eastAsia="zh-CN"/>
        </w:rPr>
        <w:t>2024</w:t>
      </w:r>
      <w:r>
        <w:rPr>
          <w:rFonts w:ascii="宋体" w:hAnsi="宋体"/>
          <w:b/>
          <w:sz w:val="32"/>
          <w:u w:val="single"/>
        </w:rPr>
        <w:t xml:space="preserve"> </w:t>
      </w:r>
      <w:r>
        <w:rPr>
          <w:rFonts w:hint="eastAsia" w:ascii="宋体" w:hAnsi="宋体"/>
          <w:b/>
          <w:sz w:val="32"/>
        </w:rPr>
        <w:t>年</w:t>
      </w:r>
      <w:r>
        <w:rPr>
          <w:rFonts w:ascii="宋体" w:hAnsi="宋体"/>
          <w:b/>
          <w:sz w:val="32"/>
          <w:u w:val="single"/>
        </w:rPr>
        <w:t xml:space="preserve"> </w:t>
      </w:r>
      <w:r>
        <w:rPr>
          <w:rFonts w:hint="eastAsia" w:ascii="宋体" w:hAnsi="宋体"/>
          <w:b/>
          <w:sz w:val="32"/>
          <w:u w:val="single"/>
          <w:lang w:val="en-US" w:eastAsia="zh-CN"/>
        </w:rPr>
        <w:t>08</w:t>
      </w:r>
      <w:r>
        <w:rPr>
          <w:rFonts w:ascii="宋体" w:hAnsi="宋体"/>
          <w:b/>
          <w:sz w:val="32"/>
          <w:u w:val="single"/>
        </w:rPr>
        <w:t xml:space="preserve"> </w:t>
      </w:r>
      <w:r>
        <w:rPr>
          <w:rFonts w:hint="eastAsia" w:ascii="宋体" w:hAnsi="宋体"/>
          <w:b/>
          <w:sz w:val="32"/>
        </w:rPr>
        <w:t>月</w:t>
      </w:r>
      <w:r>
        <w:rPr>
          <w:rFonts w:ascii="宋体" w:hAnsi="宋体"/>
          <w:b/>
          <w:sz w:val="32"/>
          <w:u w:val="single"/>
        </w:rPr>
        <w:t xml:space="preserve"> </w:t>
      </w:r>
      <w:r>
        <w:rPr>
          <w:rFonts w:hint="eastAsia" w:ascii="宋体" w:hAnsi="宋体"/>
          <w:b/>
          <w:sz w:val="32"/>
          <w:u w:val="single"/>
          <w:lang w:val="en-US" w:eastAsia="zh-CN"/>
        </w:rPr>
        <w:t>06</w:t>
      </w:r>
      <w:r>
        <w:rPr>
          <w:rFonts w:ascii="宋体" w:hAnsi="宋体"/>
          <w:b/>
          <w:sz w:val="32"/>
          <w:u w:val="single"/>
        </w:rPr>
        <w:t xml:space="preserve"> </w:t>
      </w:r>
      <w:r>
        <w:rPr>
          <w:rFonts w:hint="eastAsia" w:ascii="宋体" w:hAnsi="宋体"/>
          <w:b/>
          <w:sz w:val="32"/>
        </w:rPr>
        <w:t>日</w:t>
      </w:r>
      <w:r>
        <w:rPr>
          <w:rFonts w:ascii="宋体" w:hAnsi="宋体"/>
          <w:b/>
          <w:sz w:val="32"/>
        </w:rPr>
        <w:t xml:space="preserve"> </w:t>
      </w:r>
    </w:p>
    <w:p>
      <w:pPr>
        <w:spacing w:line="360" w:lineRule="auto"/>
        <w:rPr>
          <w:rFonts w:ascii="宋体" w:hAnsi="宋体"/>
          <w:b/>
          <w:sz w:val="28"/>
          <w:szCs w:val="36"/>
        </w:rPr>
      </w:pPr>
      <w:r>
        <w:rPr>
          <w:rFonts w:hint="eastAsia" w:ascii="宋体" w:hAnsi="宋体"/>
          <w:b/>
          <w:sz w:val="32"/>
        </w:rPr>
        <w:t xml:space="preserve">                          公章：</w:t>
      </w:r>
      <w:r>
        <w:rPr>
          <w:rFonts w:ascii="宋体" w:hAnsi="宋体"/>
          <w:b/>
          <w:sz w:val="32"/>
        </w:rPr>
        <w:t xml:space="preserve"> </w:t>
      </w: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p>
      <w:pPr>
        <w:spacing w:line="360" w:lineRule="auto"/>
        <w:rPr>
          <w:rFonts w:ascii="宋体" w:hAnsi="宋体"/>
          <w:b/>
          <w:szCs w:val="36"/>
        </w:rPr>
      </w:pPr>
    </w:p>
    <w:sdt>
      <w:sdtPr>
        <w:rPr>
          <w:rFonts w:asciiTheme="minorHAnsi" w:hAnsiTheme="minorHAnsi" w:eastAsiaTheme="minorEastAsia" w:cstheme="minorBidi"/>
          <w:b w:val="0"/>
          <w:bCs w:val="0"/>
          <w:color w:val="auto"/>
          <w:kern w:val="2"/>
          <w:sz w:val="21"/>
          <w:szCs w:val="22"/>
          <w:lang w:val="zh-CN"/>
        </w:rPr>
        <w:id w:val="586353002"/>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54"/>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pPr>
            <w:rPr>
              <w:lang w:val="zh-CN"/>
            </w:rPr>
          </w:pPr>
        </w:p>
        <w:p>
          <w:pPr>
            <w:rPr>
              <w:lang w:val="zh-CN"/>
            </w:rPr>
          </w:pPr>
        </w:p>
        <w:p>
          <w:pPr>
            <w:pStyle w:val="21"/>
            <w:tabs>
              <w:tab w:val="right" w:leader="dot" w:pos="8296"/>
            </w:tabs>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"_Toc26351149" </w:instrText>
          </w:r>
          <w:r>
            <w:fldChar w:fldCharType="separate"/>
          </w:r>
          <w:r>
            <w:rPr>
              <w:rStyle w:val="33"/>
              <w:rFonts w:hint="eastAsia"/>
            </w:rPr>
            <w:t>第一部分</w:t>
          </w:r>
          <w:r>
            <w:rPr>
              <w:rStyle w:val="33"/>
            </w:rPr>
            <w:t xml:space="preserve"> </w:t>
          </w:r>
          <w:r>
            <w:rPr>
              <w:rStyle w:val="33"/>
              <w:rFonts w:hint="eastAsia"/>
            </w:rPr>
            <w:t>基本说明</w:t>
          </w:r>
          <w:r>
            <w:tab/>
          </w:r>
          <w:r>
            <w:fldChar w:fldCharType="begin"/>
          </w:r>
          <w:r>
            <w:instrText xml:space="preserve"> PAGEREF _Toc26351149 \h </w:instrText>
          </w:r>
          <w:r>
            <w:fldChar w:fldCharType="separate"/>
          </w:r>
          <w:r>
            <w:t>3</w:t>
          </w:r>
          <w:r>
            <w:fldChar w:fldCharType="end"/>
          </w:r>
          <w:r>
            <w:fldChar w:fldCharType="end"/>
          </w:r>
        </w:p>
        <w:p>
          <w:pPr>
            <w:pStyle w:val="21"/>
            <w:tabs>
              <w:tab w:val="right" w:leader="dot" w:pos="8296"/>
            </w:tabs>
            <w:rPr>
              <w:rFonts w:asciiTheme="minorHAnsi" w:hAnsiTheme="minorHAnsi" w:eastAsiaTheme="minorEastAsia" w:cstheme="minorBidi"/>
              <w:b w:val="0"/>
              <w:szCs w:val="22"/>
            </w:rPr>
          </w:pPr>
          <w:r>
            <w:fldChar w:fldCharType="begin"/>
          </w:r>
          <w:r>
            <w:instrText xml:space="preserve"> HYPERLINK \l "_Toc26351150" </w:instrText>
          </w:r>
          <w:r>
            <w:fldChar w:fldCharType="separate"/>
          </w:r>
          <w:r>
            <w:rPr>
              <w:rStyle w:val="33"/>
              <w:rFonts w:hint="eastAsia"/>
            </w:rPr>
            <w:t>第二部分</w:t>
          </w:r>
          <w:r>
            <w:rPr>
              <w:rStyle w:val="33"/>
            </w:rPr>
            <w:t xml:space="preserve"> </w:t>
          </w:r>
          <w:r>
            <w:rPr>
              <w:rStyle w:val="33"/>
              <w:rFonts w:hint="eastAsia"/>
            </w:rPr>
            <w:t>招标情况介绍</w:t>
          </w:r>
          <w:r>
            <w:tab/>
          </w:r>
          <w:r>
            <w:fldChar w:fldCharType="begin"/>
          </w:r>
          <w:r>
            <w:instrText xml:space="preserve"> PAGEREF _Toc26351150 \h </w:instrText>
          </w:r>
          <w:r>
            <w:fldChar w:fldCharType="separate"/>
          </w:r>
          <w:r>
            <w:t>3</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"_Toc26351151" </w:instrText>
          </w:r>
          <w:r>
            <w:fldChar w:fldCharType="separate"/>
          </w:r>
          <w:r>
            <w:rPr>
              <w:rStyle w:val="33"/>
              <w:rFonts w:hint="eastAsia"/>
            </w:rPr>
            <w:t>一、项目基本情况</w:t>
          </w:r>
          <w:r>
            <w:tab/>
          </w:r>
          <w:r>
            <w:fldChar w:fldCharType="begin"/>
          </w:r>
          <w:r>
            <w:instrText xml:space="preserve"> PAGEREF _Toc26351151 \h </w:instrText>
          </w:r>
          <w:r>
            <w:fldChar w:fldCharType="separate"/>
          </w:r>
          <w:r>
            <w:t>4</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"_Toc26351153" </w:instrText>
          </w:r>
          <w:r>
            <w:fldChar w:fldCharType="separate"/>
          </w:r>
          <w:r>
            <w:rPr>
              <w:rStyle w:val="33"/>
              <w:rFonts w:hint="eastAsia"/>
            </w:rPr>
            <w:t>二、投标时间、地点、联系方式</w:t>
          </w:r>
          <w:r>
            <w:tab/>
          </w:r>
          <w:r>
            <w:fldChar w:fldCharType="begin"/>
          </w:r>
          <w:r>
            <w:instrText xml:space="preserve"> PAGEREF _Toc26351153 \h </w:instrText>
          </w:r>
          <w:r>
            <w:fldChar w:fldCharType="separate"/>
          </w:r>
          <w:r>
            <w:t>4</w:t>
          </w:r>
          <w:r>
            <w:fldChar w:fldCharType="end"/>
          </w:r>
          <w:r>
            <w:fldChar w:fldCharType="end"/>
          </w:r>
        </w:p>
        <w:p>
          <w:pPr>
            <w:pStyle w:val="21"/>
            <w:tabs>
              <w:tab w:val="right" w:leader="dot" w:pos="8296"/>
            </w:tabs>
            <w:rPr>
              <w:rFonts w:asciiTheme="minorHAnsi" w:hAnsiTheme="minorHAnsi" w:eastAsiaTheme="minorEastAsia" w:cstheme="minorBidi"/>
              <w:b w:val="0"/>
              <w:szCs w:val="22"/>
            </w:rPr>
          </w:pPr>
          <w:r>
            <w:fldChar w:fldCharType="begin"/>
          </w:r>
          <w:r>
            <w:instrText xml:space="preserve"> HYPERLINK \l "_Toc26351154" </w:instrText>
          </w:r>
          <w:r>
            <w:fldChar w:fldCharType="separate"/>
          </w:r>
          <w:r>
            <w:rPr>
              <w:rStyle w:val="33"/>
              <w:rFonts w:hint="eastAsia"/>
            </w:rPr>
            <w:t>第三部分</w:t>
          </w:r>
          <w:r>
            <w:rPr>
              <w:rStyle w:val="33"/>
            </w:rPr>
            <w:t xml:space="preserve"> </w:t>
          </w:r>
          <w:r>
            <w:rPr>
              <w:rStyle w:val="33"/>
              <w:rFonts w:hint="eastAsia"/>
            </w:rPr>
            <w:t>投标人</w:t>
          </w:r>
          <w:r>
            <w:tab/>
          </w:r>
          <w:r>
            <w:fldChar w:fldCharType="begin"/>
          </w:r>
          <w:r>
            <w:instrText xml:space="preserve"> PAGEREF _Toc26351154 \h </w:instrText>
          </w:r>
          <w:r>
            <w:fldChar w:fldCharType="separate"/>
          </w:r>
          <w:r>
            <w:t>5</w:t>
          </w:r>
          <w:r>
            <w:fldChar w:fldCharType="end"/>
          </w:r>
          <w:r>
            <w:fldChar w:fldCharType="end"/>
          </w:r>
        </w:p>
        <w:p>
          <w:pPr>
            <w:pStyle w:val="21"/>
            <w:tabs>
              <w:tab w:val="right" w:leader="dot" w:pos="8296"/>
            </w:tabs>
            <w:rPr>
              <w:rFonts w:asciiTheme="minorHAnsi" w:hAnsiTheme="minorHAnsi" w:eastAsiaTheme="minorEastAsia" w:cstheme="minorBidi"/>
              <w:b w:val="0"/>
              <w:szCs w:val="22"/>
            </w:rPr>
          </w:pPr>
          <w:r>
            <w:fldChar w:fldCharType="begin"/>
          </w:r>
          <w:r>
            <w:instrText xml:space="preserve"> HYPERLINK \l "_Toc26351155" </w:instrText>
          </w:r>
          <w:r>
            <w:fldChar w:fldCharType="separate"/>
          </w:r>
          <w:r>
            <w:rPr>
              <w:rStyle w:val="33"/>
              <w:rFonts w:hint="eastAsia"/>
            </w:rPr>
            <w:t>第四部分</w:t>
          </w:r>
          <w:r>
            <w:rPr>
              <w:rStyle w:val="33"/>
            </w:rPr>
            <w:t xml:space="preserve"> </w:t>
          </w:r>
          <w:r>
            <w:rPr>
              <w:rStyle w:val="33"/>
              <w:rFonts w:hint="eastAsia"/>
            </w:rPr>
            <w:t>投标书</w:t>
          </w:r>
          <w:r>
            <w:tab/>
          </w:r>
          <w:r>
            <w:fldChar w:fldCharType="begin"/>
          </w:r>
          <w:r>
            <w:instrText xml:space="preserve"> PAGEREF _Toc26351155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"_Toc26351156" </w:instrText>
          </w:r>
          <w:r>
            <w:fldChar w:fldCharType="separate"/>
          </w:r>
          <w:r>
            <w:rPr>
              <w:rStyle w:val="33"/>
              <w:rFonts w:hint="eastAsia"/>
            </w:rPr>
            <w:t>一、投标报价（重要）</w:t>
          </w:r>
          <w:r>
            <w:tab/>
          </w:r>
          <w:r>
            <w:fldChar w:fldCharType="begin"/>
          </w:r>
          <w:r>
            <w:instrText xml:space="preserve"> PAGEREF _Toc26351156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"_Toc26351157" </w:instrText>
          </w:r>
          <w:r>
            <w:fldChar w:fldCharType="separate"/>
          </w:r>
          <w:r>
            <w:rPr>
              <w:rStyle w:val="33"/>
              <w:rFonts w:hint="eastAsia"/>
            </w:rPr>
            <w:t>二、投标书编写说明</w:t>
          </w:r>
          <w:r>
            <w:tab/>
          </w:r>
          <w:r>
            <w:fldChar w:fldCharType="begin"/>
          </w:r>
          <w:r>
            <w:instrText xml:space="preserve"> PAGEREF _Toc26351157 \h </w:instrText>
          </w:r>
          <w:r>
            <w:fldChar w:fldCharType="separate"/>
          </w:r>
          <w:r>
            <w:t>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"_Toc26351158" </w:instrText>
          </w:r>
          <w:r>
            <w:fldChar w:fldCharType="separate"/>
          </w:r>
          <w:r>
            <w:rPr>
              <w:rStyle w:val="33"/>
              <w:rFonts w:hint="eastAsia"/>
            </w:rPr>
            <w:t>三、投标书内容</w:t>
          </w:r>
          <w:r>
            <w:tab/>
          </w:r>
          <w:r>
            <w:fldChar w:fldCharType="begin"/>
          </w:r>
          <w:r>
            <w:instrText xml:space="preserve"> PAGEREF _Toc26351158 \h </w:instrText>
          </w:r>
          <w:r>
            <w:fldChar w:fldCharType="separate"/>
          </w:r>
          <w:r>
            <w:t>7</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"_Toc26351159" </w:instrText>
          </w:r>
          <w:r>
            <w:fldChar w:fldCharType="separate"/>
          </w:r>
          <w:r>
            <w:rPr>
              <w:rStyle w:val="33"/>
              <w:rFonts w:hint="eastAsia"/>
            </w:rPr>
            <w:t>（一）投标书封面（格式）</w:t>
          </w:r>
          <w:r>
            <w:tab/>
          </w:r>
          <w:r>
            <w:fldChar w:fldCharType="begin"/>
          </w:r>
          <w:r>
            <w:instrText xml:space="preserve"> PAGEREF _Toc26351159 \h </w:instrText>
          </w:r>
          <w:r>
            <w:fldChar w:fldCharType="separate"/>
          </w:r>
          <w:r>
            <w:t>7</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"_Toc26351160" </w:instrText>
          </w:r>
          <w:r>
            <w:fldChar w:fldCharType="separate"/>
          </w:r>
          <w:r>
            <w:rPr>
              <w:rStyle w:val="33"/>
              <w:rFonts w:hint="eastAsia"/>
            </w:rPr>
            <w:t>（二）目录</w:t>
          </w:r>
          <w:r>
            <w:tab/>
          </w:r>
          <w:r>
            <w:fldChar w:fldCharType="begin"/>
          </w:r>
          <w:r>
            <w:instrText xml:space="preserve"> PAGEREF _Toc26351160 \h </w:instrText>
          </w:r>
          <w:r>
            <w:fldChar w:fldCharType="separate"/>
          </w:r>
          <w:r>
            <w:t>7</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"_Toc26351161" </w:instrText>
          </w:r>
          <w:r>
            <w:fldChar w:fldCharType="separate"/>
          </w:r>
          <w:r>
            <w:rPr>
              <w:rStyle w:val="33"/>
              <w:rFonts w:hint="eastAsia"/>
            </w:rPr>
            <w:t>（三）正文</w:t>
          </w:r>
          <w:r>
            <w:tab/>
          </w:r>
          <w:r>
            <w:fldChar w:fldCharType="begin"/>
          </w:r>
          <w:r>
            <w:instrText xml:space="preserve"> PAGEREF _Toc26351161 \h </w:instrText>
          </w:r>
          <w:r>
            <w:fldChar w:fldCharType="separate"/>
          </w:r>
          <w:r>
            <w:t>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"_Toc26351162" </w:instrText>
          </w:r>
          <w:r>
            <w:fldChar w:fldCharType="separate"/>
          </w:r>
          <w:r>
            <w:rPr>
              <w:rStyle w:val="33"/>
            </w:rPr>
            <w:t>1</w:t>
          </w:r>
          <w:r>
            <w:rPr>
              <w:rStyle w:val="33"/>
              <w:rFonts w:hint="eastAsia"/>
            </w:rPr>
            <w:t>、投标书（格式）</w:t>
          </w:r>
          <w:r>
            <w:tab/>
          </w:r>
          <w:r>
            <w:fldChar w:fldCharType="begin"/>
          </w:r>
          <w:r>
            <w:instrText xml:space="preserve"> PAGEREF _Toc26351162 \h </w:instrText>
          </w:r>
          <w:r>
            <w:fldChar w:fldCharType="separate"/>
          </w:r>
          <w:r>
            <w:t>7</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"_Toc26351163" </w:instrText>
          </w:r>
          <w:r>
            <w:fldChar w:fldCharType="separate"/>
          </w:r>
          <w:r>
            <w:rPr>
              <w:rStyle w:val="33"/>
            </w:rPr>
            <w:t>2</w:t>
          </w:r>
          <w:r>
            <w:rPr>
              <w:rStyle w:val="33"/>
              <w:rFonts w:hint="eastAsia"/>
            </w:rPr>
            <w:t>、开标一览表（格式）</w:t>
          </w:r>
          <w:r>
            <w:tab/>
          </w:r>
          <w:r>
            <w:fldChar w:fldCharType="begin"/>
          </w:r>
          <w:r>
            <w:instrText xml:space="preserve"> PAGEREF _Toc26351163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"_Toc26351164" </w:instrText>
          </w:r>
          <w:r>
            <w:fldChar w:fldCharType="separate"/>
          </w:r>
          <w:r>
            <w:rPr>
              <w:rStyle w:val="33"/>
            </w:rPr>
            <w:t>3</w:t>
          </w:r>
          <w:r>
            <w:rPr>
              <w:rStyle w:val="33"/>
              <w:rFonts w:hint="eastAsia"/>
            </w:rPr>
            <w:t>、投标人资格声明（格式）</w:t>
          </w:r>
          <w:r>
            <w:tab/>
          </w:r>
          <w:r>
            <w:fldChar w:fldCharType="begin"/>
          </w:r>
          <w:r>
            <w:instrText xml:space="preserve"> PAGEREF _Toc26351164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"_Toc26351165" </w:instrText>
          </w:r>
          <w:r>
            <w:fldChar w:fldCharType="separate"/>
          </w:r>
          <w:r>
            <w:rPr>
              <w:rStyle w:val="33"/>
            </w:rPr>
            <w:t>4</w:t>
          </w:r>
          <w:r>
            <w:rPr>
              <w:rStyle w:val="33"/>
              <w:rFonts w:hint="eastAsia"/>
            </w:rPr>
            <w:t>、法定代表人授权书（格式）</w:t>
          </w:r>
          <w:r>
            <w:tab/>
          </w:r>
          <w:r>
            <w:fldChar w:fldCharType="begin"/>
          </w:r>
          <w:r>
            <w:instrText xml:space="preserve"> PAGEREF _Toc26351165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"_Toc26351166" </w:instrText>
          </w:r>
          <w:r>
            <w:fldChar w:fldCharType="separate"/>
          </w:r>
          <w:r>
            <w:rPr>
              <w:rStyle w:val="33"/>
            </w:rPr>
            <w:t>5</w:t>
          </w:r>
          <w:r>
            <w:rPr>
              <w:rStyle w:val="33"/>
              <w:rFonts w:hint="eastAsia"/>
            </w:rPr>
            <w:t>、生产设备清单（可选）</w:t>
          </w:r>
          <w:r>
            <w:tab/>
          </w:r>
          <w:r>
            <w:fldChar w:fldCharType="begin"/>
          </w:r>
          <w:r>
            <w:instrText xml:space="preserve"> PAGEREF _Toc26351166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"_Toc26351167" </w:instrText>
          </w:r>
          <w:r>
            <w:fldChar w:fldCharType="separate"/>
          </w:r>
          <w:r>
            <w:rPr>
              <w:rStyle w:val="33"/>
            </w:rPr>
            <w:t>6</w:t>
          </w:r>
          <w:r>
            <w:rPr>
              <w:rStyle w:val="33"/>
              <w:rFonts w:hint="eastAsia"/>
            </w:rPr>
            <w:t>、可承揽业务说明（可选）</w:t>
          </w:r>
          <w:r>
            <w:tab/>
          </w:r>
          <w:r>
            <w:fldChar w:fldCharType="begin"/>
          </w:r>
          <w:r>
            <w:instrText xml:space="preserve"> PAGEREF _Toc26351167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"_Toc26351168" </w:instrText>
          </w:r>
          <w:r>
            <w:fldChar w:fldCharType="separate"/>
          </w:r>
          <w:r>
            <w:rPr>
              <w:rStyle w:val="33"/>
            </w:rPr>
            <w:t>7</w:t>
          </w:r>
          <w:r>
            <w:rPr>
              <w:rStyle w:val="33"/>
              <w:rFonts w:hint="eastAsia"/>
            </w:rPr>
            <w:t>、商务偏离表</w:t>
          </w:r>
          <w:r>
            <w:tab/>
          </w:r>
          <w:r>
            <w:fldChar w:fldCharType="begin"/>
          </w:r>
          <w:r>
            <w:instrText xml:space="preserve"> PAGEREF _Toc26351168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"_Toc26351169" </w:instrText>
          </w:r>
          <w:r>
            <w:fldChar w:fldCharType="separate"/>
          </w:r>
          <w:r>
            <w:rPr>
              <w:rStyle w:val="33"/>
            </w:rPr>
            <w:t>8</w:t>
          </w:r>
          <w:r>
            <w:rPr>
              <w:rStyle w:val="33"/>
              <w:rFonts w:hint="eastAsia"/>
            </w:rPr>
            <w:t>、技术偏离表</w:t>
          </w:r>
          <w:r>
            <w:tab/>
          </w:r>
          <w:r>
            <w:fldChar w:fldCharType="begin"/>
          </w:r>
          <w:r>
            <w:instrText xml:space="preserve"> PAGEREF _Toc26351169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"_Toc26351170" </w:instrText>
          </w:r>
          <w:r>
            <w:fldChar w:fldCharType="separate"/>
          </w:r>
          <w:r>
            <w:rPr>
              <w:rStyle w:val="33"/>
            </w:rPr>
            <w:t>9</w:t>
          </w:r>
          <w:r>
            <w:rPr>
              <w:rStyle w:val="33"/>
              <w:rFonts w:hint="eastAsia"/>
            </w:rPr>
            <w:t>、资格文件</w:t>
          </w:r>
          <w:r>
            <w:tab/>
          </w:r>
          <w:r>
            <w:fldChar w:fldCharType="begin"/>
          </w:r>
          <w:r>
            <w:instrText xml:space="preserve"> PAGEREF _Toc26351170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"_Toc26351171" </w:instrText>
          </w:r>
          <w:r>
            <w:fldChar w:fldCharType="separate"/>
          </w:r>
          <w:r>
            <w:rPr>
              <w:rStyle w:val="33"/>
            </w:rPr>
            <w:t>10</w:t>
          </w:r>
          <w:r>
            <w:rPr>
              <w:rStyle w:val="33"/>
              <w:rFonts w:hint="eastAsia"/>
            </w:rPr>
            <w:t>、质量、商务及服务承诺</w:t>
          </w:r>
          <w:r>
            <w:tab/>
          </w:r>
          <w:r>
            <w:fldChar w:fldCharType="begin"/>
          </w:r>
          <w:r>
            <w:instrText xml:space="preserve"> PAGEREF _Toc26351171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"_Toc26351172" </w:instrText>
          </w:r>
          <w:r>
            <w:fldChar w:fldCharType="separate"/>
          </w:r>
          <w:r>
            <w:rPr>
              <w:rStyle w:val="33"/>
            </w:rPr>
            <w:t>11</w:t>
          </w:r>
          <w:r>
            <w:rPr>
              <w:rStyle w:val="33"/>
              <w:rFonts w:hint="eastAsia"/>
            </w:rPr>
            <w:t>、其他文件</w:t>
          </w:r>
          <w:r>
            <w:tab/>
          </w:r>
          <w:r>
            <w:fldChar w:fldCharType="begin"/>
          </w:r>
          <w:r>
            <w:instrText xml:space="preserve"> PAGEREF _Toc26351172 \h </w:instrText>
          </w:r>
          <w:r>
            <w:fldChar w:fldCharType="separate"/>
          </w:r>
          <w:r>
            <w:t>13</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"_Toc26351173" </w:instrText>
          </w:r>
          <w:r>
            <w:fldChar w:fldCharType="separate"/>
          </w:r>
          <w:r>
            <w:rPr>
              <w:rStyle w:val="33"/>
              <w:rFonts w:hint="eastAsia"/>
            </w:rPr>
            <w:t>四、投标书制作、封装、递交</w:t>
          </w:r>
          <w:r>
            <w:tab/>
          </w:r>
          <w:r>
            <w:fldChar w:fldCharType="begin"/>
          </w:r>
          <w:r>
            <w:instrText xml:space="preserve"> PAGEREF _Toc26351173 \h </w:instrText>
          </w:r>
          <w:r>
            <w:fldChar w:fldCharType="separate"/>
          </w:r>
          <w:r>
            <w:t>14</w:t>
          </w:r>
          <w:r>
            <w:fldChar w:fldCharType="end"/>
          </w:r>
          <w:r>
            <w:fldChar w:fldCharType="end"/>
          </w:r>
        </w:p>
        <w:p>
          <w:pPr>
            <w:pStyle w:val="21"/>
            <w:tabs>
              <w:tab w:val="right" w:leader="dot" w:pos="8296"/>
            </w:tabs>
            <w:rPr>
              <w:rFonts w:asciiTheme="minorHAnsi" w:hAnsiTheme="minorHAnsi" w:eastAsiaTheme="minorEastAsia" w:cstheme="minorBidi"/>
              <w:b w:val="0"/>
              <w:szCs w:val="22"/>
            </w:rPr>
          </w:pPr>
          <w:r>
            <w:fldChar w:fldCharType="begin"/>
          </w:r>
          <w:r>
            <w:instrText xml:space="preserve"> HYPERLINK \l "_Toc26351174" </w:instrText>
          </w:r>
          <w:r>
            <w:fldChar w:fldCharType="separate"/>
          </w:r>
          <w:r>
            <w:rPr>
              <w:rStyle w:val="33"/>
              <w:rFonts w:hint="eastAsia"/>
            </w:rPr>
            <w:t>第五部分</w:t>
          </w:r>
          <w:r>
            <w:rPr>
              <w:rStyle w:val="33"/>
            </w:rPr>
            <w:t xml:space="preserve"> </w:t>
          </w:r>
          <w:r>
            <w:rPr>
              <w:rStyle w:val="33"/>
              <w:rFonts w:hint="eastAsia"/>
            </w:rPr>
            <w:t>开标、评标</w:t>
          </w:r>
          <w:r>
            <w:tab/>
          </w:r>
          <w:r>
            <w:fldChar w:fldCharType="begin"/>
          </w:r>
          <w:r>
            <w:instrText xml:space="preserve"> PAGEREF _Toc26351174 \h </w:instrText>
          </w:r>
          <w:r>
            <w:fldChar w:fldCharType="separate"/>
          </w:r>
          <w:r>
            <w:t>14</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"_Toc26351175" </w:instrText>
          </w:r>
          <w:r>
            <w:fldChar w:fldCharType="separate"/>
          </w:r>
          <w:r>
            <w:rPr>
              <w:rStyle w:val="33"/>
            </w:rPr>
            <w:t>1</w:t>
          </w:r>
          <w:r>
            <w:rPr>
              <w:rStyle w:val="33"/>
              <w:rFonts w:hint="eastAsia"/>
            </w:rPr>
            <w:t>、开标</w:t>
          </w:r>
          <w:r>
            <w:tab/>
          </w:r>
          <w:r>
            <w:fldChar w:fldCharType="begin"/>
          </w:r>
          <w:r>
            <w:instrText xml:space="preserve"> PAGEREF _Toc26351175 \h </w:instrText>
          </w:r>
          <w:r>
            <w:fldChar w:fldCharType="separate"/>
          </w:r>
          <w:r>
            <w:t>14</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"_Toc26351176" </w:instrText>
          </w:r>
          <w:r>
            <w:fldChar w:fldCharType="separate"/>
          </w:r>
          <w:r>
            <w:rPr>
              <w:rStyle w:val="33"/>
            </w:rPr>
            <w:t>2</w:t>
          </w:r>
          <w:r>
            <w:rPr>
              <w:rStyle w:val="33"/>
              <w:rFonts w:hint="eastAsia"/>
            </w:rPr>
            <w:t>、评标</w:t>
          </w:r>
          <w:r>
            <w:tab/>
          </w:r>
          <w:r>
            <w:fldChar w:fldCharType="begin"/>
          </w:r>
          <w:r>
            <w:instrText xml:space="preserve"> PAGEREF _Toc26351176 \h </w:instrText>
          </w:r>
          <w:r>
            <w:fldChar w:fldCharType="separate"/>
          </w:r>
          <w:r>
            <w:t>15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"_Toc26351177" </w:instrText>
          </w:r>
          <w:r>
            <w:fldChar w:fldCharType="separate"/>
          </w:r>
          <w:r>
            <w:rPr>
              <w:rStyle w:val="33"/>
            </w:rPr>
            <w:t>3</w:t>
          </w:r>
          <w:r>
            <w:rPr>
              <w:rStyle w:val="33"/>
              <w:rFonts w:hint="eastAsia"/>
            </w:rPr>
            <w:t>、标书的澄清</w:t>
          </w:r>
          <w:r>
            <w:tab/>
          </w:r>
          <w:r>
            <w:fldChar w:fldCharType="begin"/>
          </w:r>
          <w:r>
            <w:instrText xml:space="preserve"> PAGEREF _Toc26351177 \h </w:instrText>
          </w:r>
          <w:r>
            <w:fldChar w:fldCharType="separate"/>
          </w:r>
          <w:r>
            <w:t>15</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"_Toc26351178" </w:instrText>
          </w:r>
          <w:r>
            <w:fldChar w:fldCharType="separate"/>
          </w:r>
          <w:r>
            <w:rPr>
              <w:rStyle w:val="33"/>
            </w:rPr>
            <w:t>4</w:t>
          </w:r>
          <w:r>
            <w:rPr>
              <w:rStyle w:val="33"/>
              <w:rFonts w:hint="eastAsia"/>
            </w:rPr>
            <w:t>、确定中标人</w:t>
          </w:r>
          <w:r>
            <w:tab/>
          </w:r>
          <w:r>
            <w:fldChar w:fldCharType="begin"/>
          </w:r>
          <w:r>
            <w:instrText xml:space="preserve"> PAGEREF _Toc26351178 \h </w:instrText>
          </w:r>
          <w:r>
            <w:fldChar w:fldCharType="separate"/>
          </w:r>
          <w:r>
            <w:t>16</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"_Toc26351179" </w:instrText>
          </w:r>
          <w:r>
            <w:fldChar w:fldCharType="separate"/>
          </w:r>
          <w:r>
            <w:rPr>
              <w:rStyle w:val="33"/>
            </w:rPr>
            <w:t>5</w:t>
          </w:r>
          <w:r>
            <w:rPr>
              <w:rStyle w:val="33"/>
              <w:rFonts w:hint="eastAsia"/>
            </w:rPr>
            <w:t>、中标通知</w:t>
          </w:r>
          <w:r>
            <w:tab/>
          </w:r>
          <w:r>
            <w:fldChar w:fldCharType="begin"/>
          </w:r>
          <w:r>
            <w:instrText xml:space="preserve"> PAGEREF _Toc26351179 \h </w:instrText>
          </w:r>
          <w:r>
            <w:fldChar w:fldCharType="separate"/>
          </w:r>
          <w:r>
            <w:t>16</w:t>
          </w:r>
          <w:r>
            <w:fldChar w:fldCharType="end"/>
          </w:r>
          <w:r>
            <w:fldChar w:fldCharType="end"/>
          </w:r>
        </w:p>
        <w:p>
          <w:pPr>
            <w:pStyle w:val="21"/>
            <w:tabs>
              <w:tab w:val="right" w:leader="dot" w:pos="8296"/>
            </w:tabs>
            <w:rPr>
              <w:rFonts w:asciiTheme="minorHAnsi" w:hAnsiTheme="minorHAnsi" w:eastAsiaTheme="minorEastAsia" w:cstheme="minorBidi"/>
              <w:b w:val="0"/>
              <w:szCs w:val="22"/>
            </w:rPr>
          </w:pPr>
          <w:r>
            <w:fldChar w:fldCharType="begin"/>
          </w:r>
          <w:r>
            <w:instrText xml:space="preserve"> HYPERLINK \l "_Toc26351180" </w:instrText>
          </w:r>
          <w:r>
            <w:fldChar w:fldCharType="separate"/>
          </w:r>
          <w:r>
            <w:rPr>
              <w:rStyle w:val="33"/>
              <w:rFonts w:hint="eastAsia"/>
            </w:rPr>
            <w:t>第六部分</w:t>
          </w:r>
          <w:r>
            <w:rPr>
              <w:rStyle w:val="33"/>
            </w:rPr>
            <w:t xml:space="preserve"> </w:t>
          </w:r>
          <w:r>
            <w:rPr>
              <w:rStyle w:val="33"/>
              <w:rFonts w:hint="eastAsia"/>
            </w:rPr>
            <w:t>签订合同</w:t>
          </w:r>
          <w:r>
            <w:tab/>
          </w:r>
          <w:r>
            <w:fldChar w:fldCharType="begin"/>
          </w:r>
          <w:r>
            <w:instrText xml:space="preserve"> PAGEREF _Toc26351180 \h </w:instrText>
          </w:r>
          <w:r>
            <w:fldChar w:fldCharType="separate"/>
          </w:r>
          <w:r>
            <w:t>17</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"_Toc26351181" </w:instrText>
          </w:r>
          <w:r>
            <w:fldChar w:fldCharType="separate"/>
          </w:r>
          <w:r>
            <w:rPr>
              <w:rStyle w:val="33"/>
            </w:rPr>
            <w:t>1</w:t>
          </w:r>
          <w:r>
            <w:rPr>
              <w:rStyle w:val="33"/>
              <w:rFonts w:hint="eastAsia"/>
            </w:rPr>
            <w:t>、签订合同</w:t>
          </w:r>
          <w:r>
            <w:tab/>
          </w:r>
          <w:r>
            <w:fldChar w:fldCharType="begin"/>
          </w:r>
          <w:r>
            <w:instrText xml:space="preserve"> PAGEREF _Toc26351181 \h </w:instrText>
          </w:r>
          <w:r>
            <w:fldChar w:fldCharType="separate"/>
          </w:r>
          <w:r>
            <w:t>17</w:t>
          </w:r>
          <w:r>
            <w:fldChar w:fldCharType="end"/>
          </w:r>
          <w:r>
            <w:fldChar w:fldCharType="end"/>
          </w:r>
        </w:p>
        <w:p>
          <w:pPr>
            <w:pStyle w:val="24"/>
            <w:tabs>
              <w:tab w:val="right" w:leader="dot" w:pos="8296"/>
            </w:tabs>
            <w:rPr>
              <w:rFonts w:asciiTheme="minorHAnsi" w:hAnsiTheme="minorHAnsi" w:eastAsiaTheme="minorEastAsia" w:cstheme="minorBidi"/>
              <w:szCs w:val="22"/>
            </w:rPr>
          </w:pPr>
          <w:r>
            <w:fldChar w:fldCharType="begin"/>
          </w:r>
          <w:r>
            <w:instrText xml:space="preserve"> HYPERLINK \l "_Toc26351182" </w:instrText>
          </w:r>
          <w:r>
            <w:fldChar w:fldCharType="separate"/>
          </w:r>
          <w:r>
            <w:rPr>
              <w:rStyle w:val="33"/>
            </w:rPr>
            <w:t>2</w:t>
          </w:r>
          <w:r>
            <w:rPr>
              <w:rStyle w:val="33"/>
              <w:rFonts w:hint="eastAsia"/>
            </w:rPr>
            <w:t>、商务条款和合同内容</w:t>
          </w:r>
          <w:r>
            <w:tab/>
          </w:r>
          <w:r>
            <w:fldChar w:fldCharType="begin"/>
          </w:r>
          <w:r>
            <w:instrText xml:space="preserve"> PAGEREF _Toc26351182 \h </w:instrText>
          </w:r>
          <w:r>
            <w:fldChar w:fldCharType="separate"/>
          </w:r>
          <w:r>
            <w:t>17</w:t>
          </w:r>
          <w:r>
            <w:fldChar w:fldCharType="end"/>
          </w:r>
          <w:r>
            <w:fldChar w:fldCharType="end"/>
          </w:r>
        </w:p>
        <w:p>
          <w:r>
            <w:rPr>
              <w:b/>
              <w:bCs/>
              <w:lang w:val="zh-CN"/>
            </w:rPr>
            <w:fldChar w:fldCharType="end"/>
          </w:r>
        </w:p>
      </w:sdtContent>
    </w:sdt>
    <w:p>
      <w:pPr>
        <w:pStyle w:val="2"/>
        <w:spacing w:line="360" w:lineRule="auto"/>
      </w:pPr>
      <w:bookmarkStart w:id="0" w:name="_Toc26351149"/>
      <w:bookmarkStart w:id="1" w:name="_Toc535921082"/>
      <w:r>
        <w:rPr>
          <w:rFonts w:hint="eastAsia"/>
        </w:rPr>
        <w:t>第一部分</w:t>
      </w:r>
      <w:r>
        <w:t xml:space="preserve"> </w:t>
      </w:r>
      <w:r>
        <w:rPr>
          <w:rFonts w:hint="eastAsia"/>
        </w:rPr>
        <w:t>基本说明</w:t>
      </w:r>
      <w:bookmarkEnd w:id="0"/>
      <w:bookmarkEnd w:id="1"/>
    </w:p>
    <w:p>
      <w:pPr>
        <w:spacing w:line="360" w:lineRule="auto"/>
      </w:pPr>
    </w:p>
    <w:p>
      <w:pPr>
        <w:pStyle w:val="26"/>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pPr>
        <w:pStyle w:val="26"/>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pPr>
        <w:pStyle w:val="26"/>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pPr>
        <w:pStyle w:val="26"/>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pPr>
        <w:pStyle w:val="26"/>
        <w:numPr>
          <w:ilvl w:val="0"/>
          <w:numId w:val="2"/>
        </w:numPr>
        <w:spacing w:before="0" w:beforeAutospacing="0" w:after="0" w:afterAutospacing="0" w:line="360" w:lineRule="auto"/>
        <w:rPr>
          <w:sz w:val="21"/>
          <w:szCs w:val="18"/>
        </w:rPr>
      </w:pPr>
      <w:r>
        <w:rPr>
          <w:rFonts w:hint="eastAsia"/>
          <w:sz w:val="21"/>
          <w:szCs w:val="18"/>
        </w:rPr>
        <w:t>招标书修改、撤回：</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pPr>
        <w:pStyle w:val="26"/>
        <w:numPr>
          <w:ilvl w:val="2"/>
          <w:numId w:val="2"/>
        </w:numPr>
        <w:tabs>
          <w:tab w:val="left" w:pos="1080"/>
          <w:tab w:val="clear" w:pos="1785"/>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
        <w:spacing w:line="360" w:lineRule="auto"/>
      </w:pPr>
      <w:bookmarkStart w:id="2" w:name="_Toc535921083"/>
      <w:bookmarkStart w:id="3" w:name="_Toc26351150"/>
      <w:r>
        <w:rPr>
          <w:rFonts w:hint="eastAsia"/>
        </w:rPr>
        <w:t>第二部分</w:t>
      </w:r>
      <w:r>
        <w:t xml:space="preserve"> </w:t>
      </w:r>
      <w:r>
        <w:rPr>
          <w:rFonts w:hint="eastAsia"/>
        </w:rPr>
        <w:t>招标情况介绍</w:t>
      </w:r>
      <w:bookmarkEnd w:id="2"/>
      <w:bookmarkEnd w:id="3"/>
    </w:p>
    <w:p>
      <w:pPr>
        <w:pStyle w:val="8"/>
        <w:spacing w:line="360" w:lineRule="auto"/>
        <w:rPr>
          <w:rFonts w:ascii="宋体" w:hAnsi="宋体"/>
        </w:rPr>
      </w:pPr>
    </w:p>
    <w:p>
      <w:pPr>
        <w:pStyle w:val="3"/>
        <w:spacing w:line="360" w:lineRule="auto"/>
      </w:pPr>
      <w:bookmarkStart w:id="4" w:name="_Toc26351151"/>
      <w:bookmarkStart w:id="5" w:name="_Toc535921084"/>
      <w:r>
        <w:rPr>
          <w:rFonts w:hint="eastAsia"/>
        </w:rPr>
        <w:t>一、项目基本情况</w:t>
      </w:r>
      <w:bookmarkEnd w:id="4"/>
      <w:bookmarkEnd w:id="5"/>
    </w:p>
    <w:p>
      <w:pPr>
        <w:numPr>
          <w:ilvl w:val="0"/>
          <w:numId w:val="3"/>
        </w:numPr>
        <w:spacing w:line="360" w:lineRule="auto"/>
        <w:rPr>
          <w:rFonts w:ascii="宋体" w:hAnsi="宋体"/>
        </w:rPr>
      </w:pPr>
      <w:r>
        <w:rPr>
          <w:rFonts w:ascii="宋体" w:hAnsi="宋体"/>
        </w:rPr>
        <w:t>采购</w:t>
      </w:r>
      <w:r>
        <w:rPr>
          <w:rFonts w:hint="eastAsia" w:ascii="宋体" w:hAnsi="宋体"/>
        </w:rPr>
        <w:t>单位</w:t>
      </w:r>
      <w:r>
        <w:rPr>
          <w:rFonts w:ascii="宋体" w:hAnsi="宋体"/>
        </w:rPr>
        <w:t>名称：</w:t>
      </w:r>
      <w:r>
        <w:rPr>
          <w:rFonts w:ascii="宋体" w:hAnsi="宋体"/>
          <w:u w:val="single"/>
        </w:rPr>
        <w:t xml:space="preserve">  民生人寿保险股份有限公司    </w:t>
      </w:r>
      <w:r>
        <w:rPr>
          <w:rFonts w:hint="eastAsia" w:ascii="宋体" w:hAnsi="宋体"/>
        </w:rPr>
        <w:t xml:space="preserve"> </w:t>
      </w:r>
    </w:p>
    <w:p>
      <w:pPr>
        <w:numPr>
          <w:ilvl w:val="0"/>
          <w:numId w:val="3"/>
        </w:numPr>
        <w:spacing w:line="360" w:lineRule="auto"/>
        <w:rPr>
          <w:rFonts w:ascii="宋体" w:hAnsi="宋体"/>
        </w:rPr>
      </w:pPr>
      <w:r>
        <w:rPr>
          <w:rFonts w:hint="eastAsia" w:ascii="宋体" w:hAnsi="宋体"/>
        </w:rPr>
        <w:t>项目</w:t>
      </w:r>
      <w:r>
        <w:rPr>
          <w:rFonts w:ascii="宋体" w:hAnsi="宋体"/>
        </w:rPr>
        <w:t>名称：</w:t>
      </w:r>
      <w:r>
        <w:rPr>
          <w:rFonts w:ascii="宋体" w:hAnsi="宋体"/>
          <w:u w:val="single"/>
        </w:rPr>
        <w:t xml:space="preserve">     民生保险采购管理系统项目</w:t>
      </w:r>
      <w:r>
        <w:rPr>
          <w:rFonts w:hint="eastAsia" w:ascii="宋体" w:hAnsi="宋体"/>
          <w:u w:val="single"/>
        </w:rPr>
        <w:t xml:space="preserve">    </w:t>
      </w:r>
      <w:r>
        <w:rPr>
          <w:rFonts w:ascii="宋体" w:hAnsi="宋体"/>
          <w:u w:val="single"/>
        </w:rPr>
        <w:t xml:space="preserve">    </w:t>
      </w:r>
      <w:r>
        <w:rPr>
          <w:rFonts w:hint="eastAsia" w:ascii="宋体" w:hAnsi="宋体"/>
        </w:rPr>
        <w:t xml:space="preserve"> </w:t>
      </w:r>
    </w:p>
    <w:p>
      <w:pPr>
        <w:numPr>
          <w:ilvl w:val="0"/>
          <w:numId w:val="3"/>
        </w:numPr>
        <w:spacing w:line="360" w:lineRule="auto"/>
        <w:rPr>
          <w:rFonts w:ascii="宋体" w:hAnsi="宋体"/>
          <w:szCs w:val="21"/>
        </w:rPr>
      </w:pPr>
      <w:r>
        <w:rPr>
          <w:rFonts w:ascii="宋体" w:hAnsi="宋体"/>
          <w:szCs w:val="21"/>
        </w:rPr>
        <w:t>项目</w:t>
      </w:r>
      <w:r>
        <w:rPr>
          <w:rFonts w:hint="eastAsia" w:ascii="宋体" w:hAnsi="宋体"/>
          <w:szCs w:val="21"/>
        </w:rPr>
        <w:t>内容：</w:t>
      </w:r>
      <w:r>
        <w:rPr>
          <w:rFonts w:ascii="宋体" w:hAnsi="宋体"/>
          <w:u w:val="single"/>
        </w:rPr>
        <w:t xml:space="preserve">    采购满足民生保险业务需求的采购管理系统      </w:t>
      </w:r>
    </w:p>
    <w:p>
      <w:pPr>
        <w:spacing w:line="360" w:lineRule="auto"/>
        <w:ind w:firstLine="735"/>
        <w:rPr>
          <w:rFonts w:ascii="宋体" w:hAnsi="宋体"/>
          <w:vanish/>
          <w:szCs w:val="18"/>
        </w:rPr>
      </w:pPr>
    </w:p>
    <w:p>
      <w:pPr>
        <w:pStyle w:val="3"/>
        <w:spacing w:line="360" w:lineRule="auto"/>
      </w:pPr>
      <w:bookmarkStart w:id="6" w:name="_Toc26351153"/>
      <w:bookmarkStart w:id="7" w:name="_Toc535921086"/>
      <w:r>
        <w:rPr>
          <w:rFonts w:hint="eastAsia"/>
        </w:rPr>
        <w:t>二、投标时间、地点、联系方式</w:t>
      </w:r>
      <w:bookmarkEnd w:id="6"/>
      <w:bookmarkEnd w:id="7"/>
    </w:p>
    <w:p>
      <w:pPr>
        <w:numPr>
          <w:ilvl w:val="0"/>
          <w:numId w:val="4"/>
        </w:numPr>
        <w:spacing w:line="360" w:lineRule="auto"/>
        <w:rPr>
          <w:rFonts w:ascii="宋体" w:hAnsi="宋体"/>
          <w:szCs w:val="18"/>
          <w:u w:val="single"/>
        </w:rPr>
      </w:pPr>
      <w:r>
        <w:rPr>
          <w:rFonts w:ascii="宋体" w:hAnsi="宋体"/>
          <w:szCs w:val="18"/>
        </w:rPr>
        <w:t>投标书递交截止时间：</w:t>
      </w:r>
      <w:r>
        <w:rPr>
          <w:rFonts w:ascii="宋体" w:hAnsi="宋体"/>
          <w:szCs w:val="18"/>
          <w:u w:val="single"/>
        </w:rPr>
        <w:t xml:space="preserve"> </w:t>
      </w:r>
      <w:r>
        <w:rPr>
          <w:rFonts w:hint="eastAsia" w:ascii="宋体" w:hAnsi="宋体"/>
          <w:szCs w:val="18"/>
          <w:u w:val="single"/>
          <w:lang w:val="en-US" w:eastAsia="zh-CN"/>
        </w:rPr>
        <w:t>2024</w:t>
      </w:r>
      <w:r>
        <w:rPr>
          <w:rFonts w:ascii="宋体" w:hAnsi="宋体"/>
          <w:szCs w:val="18"/>
          <w:u w:val="single"/>
        </w:rPr>
        <w:t xml:space="preserve">年 </w:t>
      </w:r>
      <w:r>
        <w:rPr>
          <w:rFonts w:hint="eastAsia" w:ascii="宋体" w:hAnsi="宋体"/>
          <w:szCs w:val="18"/>
          <w:u w:val="single"/>
          <w:lang w:val="en-US" w:eastAsia="zh-CN"/>
        </w:rPr>
        <w:t>08</w:t>
      </w:r>
      <w:r>
        <w:rPr>
          <w:rFonts w:ascii="宋体" w:hAnsi="宋体"/>
          <w:szCs w:val="18"/>
          <w:u w:val="single"/>
        </w:rPr>
        <w:t xml:space="preserve"> 月 </w:t>
      </w:r>
      <w:r>
        <w:rPr>
          <w:rFonts w:hint="eastAsia" w:ascii="宋体" w:hAnsi="宋体"/>
          <w:szCs w:val="18"/>
          <w:u w:val="single"/>
          <w:lang w:val="en-US" w:eastAsia="zh-CN"/>
        </w:rPr>
        <w:t>19</w:t>
      </w:r>
      <w:r>
        <w:rPr>
          <w:rFonts w:ascii="宋体" w:hAnsi="宋体"/>
          <w:szCs w:val="18"/>
          <w:u w:val="single"/>
        </w:rPr>
        <w:t xml:space="preserve">  日</w:t>
      </w:r>
    </w:p>
    <w:p>
      <w:pPr>
        <w:numPr>
          <w:ilvl w:val="0"/>
          <w:numId w:val="4"/>
        </w:numPr>
        <w:spacing w:line="360" w:lineRule="auto"/>
        <w:rPr>
          <w:rFonts w:ascii="宋体" w:hAnsi="宋体"/>
          <w:szCs w:val="21"/>
        </w:rPr>
      </w:pPr>
      <w:r>
        <w:rPr>
          <w:rFonts w:hint="eastAsia" w:ascii="宋体" w:hAnsi="宋体"/>
          <w:szCs w:val="18"/>
        </w:rPr>
        <w:t>投标地点：</w:t>
      </w:r>
      <w:r>
        <w:rPr>
          <w:rFonts w:ascii="宋体" w:hAnsi="宋体"/>
          <w:szCs w:val="18"/>
          <w:u w:val="single"/>
        </w:rPr>
        <w:t xml:space="preserve"> </w:t>
      </w:r>
      <w:r>
        <w:rPr>
          <w:rFonts w:hint="eastAsia" w:ascii="宋体" w:hAnsi="宋体"/>
          <w:szCs w:val="18"/>
          <w:u w:val="single"/>
          <w:lang w:val="en-US" w:eastAsia="zh-CN"/>
        </w:rPr>
        <w:t xml:space="preserve"> </w:t>
      </w:r>
      <w:r>
        <w:rPr>
          <w:rFonts w:ascii="宋体" w:hAnsi="宋体"/>
          <w:szCs w:val="18"/>
          <w:u w:val="single"/>
        </w:rPr>
        <w:t xml:space="preserve"> </w:t>
      </w:r>
      <w:r>
        <w:rPr>
          <w:rFonts w:hint="eastAsia" w:ascii="宋体" w:hAnsi="宋体"/>
          <w:szCs w:val="18"/>
          <w:u w:val="single"/>
        </w:rPr>
        <w:t>上海市虹口塘沽路463号</w:t>
      </w:r>
      <w:r>
        <w:rPr>
          <w:rFonts w:ascii="宋体" w:hAnsi="宋体"/>
          <w:szCs w:val="18"/>
          <w:u w:val="single"/>
        </w:rPr>
        <w:t xml:space="preserve">   </w:t>
      </w:r>
      <w:r>
        <w:rPr>
          <w:rFonts w:hint="eastAsia" w:ascii="宋体" w:hAnsi="宋体"/>
          <w:szCs w:val="18"/>
          <w:u w:val="single"/>
          <w:lang w:val="en-US" w:eastAsia="zh-CN"/>
        </w:rPr>
        <w:t xml:space="preserve">  </w:t>
      </w:r>
    </w:p>
    <w:p>
      <w:pPr>
        <w:numPr>
          <w:ilvl w:val="0"/>
          <w:numId w:val="4"/>
        </w:numPr>
        <w:spacing w:line="360" w:lineRule="auto"/>
        <w:rPr>
          <w:rFonts w:ascii="宋体" w:hAnsi="宋体"/>
          <w:szCs w:val="21"/>
        </w:rPr>
      </w:pPr>
      <w:r>
        <w:rPr>
          <w:rFonts w:hint="eastAsia" w:ascii="宋体" w:hAnsi="宋体"/>
          <w:szCs w:val="18"/>
        </w:rPr>
        <w:t>开标地点：</w:t>
      </w:r>
      <w:r>
        <w:rPr>
          <w:rFonts w:ascii="宋体" w:hAnsi="宋体"/>
          <w:szCs w:val="18"/>
          <w:u w:val="single"/>
        </w:rPr>
        <w:t xml:space="preserve">  </w:t>
      </w:r>
      <w:r>
        <w:rPr>
          <w:rFonts w:hint="eastAsia" w:ascii="宋体" w:hAnsi="宋体"/>
          <w:szCs w:val="18"/>
          <w:u w:val="single"/>
        </w:rPr>
        <w:t>上海市浦东新区陆家嘴西路99号</w:t>
      </w:r>
      <w:r>
        <w:rPr>
          <w:rFonts w:ascii="宋体" w:hAnsi="宋体"/>
          <w:szCs w:val="18"/>
          <w:u w:val="single"/>
        </w:rPr>
        <w:t xml:space="preserve">      </w:t>
      </w:r>
    </w:p>
    <w:p>
      <w:pPr>
        <w:numPr>
          <w:ilvl w:val="0"/>
          <w:numId w:val="4"/>
        </w:numPr>
        <w:spacing w:line="360" w:lineRule="auto"/>
        <w:rPr>
          <w:rFonts w:ascii="宋体" w:hAnsi="宋体"/>
          <w:szCs w:val="21"/>
        </w:rPr>
      </w:pPr>
      <w:r>
        <w:rPr>
          <w:rFonts w:hint="eastAsia" w:ascii="宋体" w:hAnsi="宋体"/>
          <w:szCs w:val="21"/>
        </w:rPr>
        <w:t>联系方式：</w:t>
      </w:r>
    </w:p>
    <w:p>
      <w:pPr>
        <w:spacing w:line="360" w:lineRule="auto"/>
        <w:ind w:firstLine="420" w:firstLineChars="200"/>
        <w:rPr>
          <w:rFonts w:ascii="宋体" w:hAnsi="宋体"/>
          <w:szCs w:val="18"/>
        </w:rPr>
      </w:pPr>
      <w:r>
        <w:rPr>
          <w:rFonts w:ascii="宋体" w:hAnsi="宋体"/>
          <w:szCs w:val="18"/>
        </w:rPr>
        <w:t>联系单位：</w:t>
      </w:r>
      <w:r>
        <w:rPr>
          <w:rFonts w:ascii="宋体" w:hAnsi="宋体"/>
          <w:szCs w:val="18"/>
          <w:u w:val="single"/>
        </w:rPr>
        <w:t xml:space="preserve">  </w:t>
      </w:r>
      <w:r>
        <w:rPr>
          <w:rFonts w:hint="eastAsia" w:ascii="宋体" w:hAnsi="宋体"/>
          <w:szCs w:val="18"/>
          <w:u w:val="single"/>
        </w:rPr>
        <w:t>民生人寿保险股份有限公司</w:t>
      </w:r>
      <w:r>
        <w:rPr>
          <w:rFonts w:ascii="宋体" w:hAnsi="宋体"/>
          <w:szCs w:val="18"/>
          <w:u w:val="single"/>
        </w:rPr>
        <w:t xml:space="preserve">  </w:t>
      </w:r>
      <w:r>
        <w:rPr>
          <w:rFonts w:ascii="宋体" w:hAnsi="宋体"/>
          <w:szCs w:val="18"/>
        </w:rPr>
        <w:t xml:space="preserve"> （</w:t>
      </w:r>
      <w:r>
        <w:rPr>
          <w:rFonts w:hint="eastAsia" w:ascii="宋体" w:hAnsi="宋体"/>
          <w:szCs w:val="18"/>
        </w:rPr>
        <w:t>招</w:t>
      </w:r>
      <w:r>
        <w:rPr>
          <w:rFonts w:ascii="宋体" w:hAnsi="宋体"/>
          <w:szCs w:val="18"/>
        </w:rPr>
        <w:t>标</w:t>
      </w:r>
      <w:r>
        <w:rPr>
          <w:rFonts w:hint="eastAsia" w:ascii="宋体" w:hAnsi="宋体"/>
          <w:szCs w:val="18"/>
        </w:rPr>
        <w:t>人</w:t>
      </w:r>
      <w:r>
        <w:rPr>
          <w:rFonts w:ascii="宋体" w:hAnsi="宋体"/>
          <w:szCs w:val="18"/>
        </w:rPr>
        <w:t>）</w:t>
      </w:r>
    </w:p>
    <w:p>
      <w:pPr>
        <w:spacing w:line="360" w:lineRule="auto"/>
        <w:ind w:left="420" w:leftChars="200"/>
        <w:rPr>
          <w:rFonts w:ascii="宋体" w:hAnsi="宋体"/>
          <w:szCs w:val="18"/>
          <w:u w:val="single"/>
        </w:rPr>
      </w:pPr>
      <w:r>
        <w:rPr>
          <w:rFonts w:ascii="宋体" w:hAnsi="宋体"/>
          <w:szCs w:val="18"/>
        </w:rPr>
        <w:t>地  　址：</w:t>
      </w:r>
      <w:r>
        <w:rPr>
          <w:rFonts w:ascii="宋体" w:hAnsi="宋体"/>
          <w:szCs w:val="18"/>
          <w:u w:val="single"/>
        </w:rPr>
        <w:t xml:space="preserve">  </w:t>
      </w:r>
      <w:r>
        <w:rPr>
          <w:rFonts w:hint="eastAsia" w:ascii="宋体" w:hAnsi="宋体"/>
          <w:szCs w:val="18"/>
          <w:u w:val="single"/>
        </w:rPr>
        <w:t>上海市虹口塘沽路463号8层</w:t>
      </w:r>
      <w:r>
        <w:rPr>
          <w:rFonts w:ascii="宋体" w:hAnsi="宋体"/>
          <w:szCs w:val="18"/>
          <w:u w:val="single"/>
        </w:rPr>
        <w:t xml:space="preserve">    </w:t>
      </w:r>
      <w:r>
        <w:rPr>
          <w:rFonts w:ascii="宋体" w:hAnsi="宋体"/>
          <w:szCs w:val="18"/>
        </w:rPr>
        <w:t xml:space="preserve"> （投标书递交地址）</w:t>
      </w:r>
      <w:r>
        <w:rPr>
          <w:rFonts w:ascii="宋体" w:hAnsi="宋体"/>
          <w:szCs w:val="18"/>
        </w:rPr>
        <w:br w:type="textWrapping"/>
      </w:r>
      <w:r>
        <w:rPr>
          <w:rFonts w:ascii="宋体" w:hAnsi="宋体"/>
          <w:szCs w:val="18"/>
        </w:rPr>
        <w:t>联 系 人：</w:t>
      </w:r>
      <w:r>
        <w:rPr>
          <w:rFonts w:ascii="宋体" w:hAnsi="宋体"/>
          <w:szCs w:val="18"/>
          <w:u w:val="single"/>
        </w:rPr>
        <w:t xml:space="preserve">   </w:t>
      </w:r>
      <w:r>
        <w:rPr>
          <w:rFonts w:hint="eastAsia" w:ascii="宋体" w:hAnsi="宋体"/>
          <w:szCs w:val="18"/>
          <w:u w:val="single"/>
          <w:lang w:eastAsia="zh-CN"/>
        </w:rPr>
        <w:t>田虹</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　　话：</w:t>
      </w:r>
      <w:r>
        <w:rPr>
          <w:rFonts w:ascii="宋体" w:hAnsi="宋体"/>
          <w:szCs w:val="18"/>
          <w:u w:val="single"/>
        </w:rPr>
        <w:t xml:space="preserve">  </w:t>
      </w:r>
      <w:r>
        <w:rPr>
          <w:rFonts w:hint="eastAsia" w:ascii="宋体" w:hAnsi="宋体"/>
          <w:szCs w:val="18"/>
          <w:u w:val="single"/>
          <w:lang w:val="en-US" w:eastAsia="zh-CN"/>
        </w:rPr>
        <w:t>17745035643</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电子邮件：</w:t>
      </w:r>
      <w:r>
        <w:rPr>
          <w:rFonts w:ascii="宋体" w:hAnsi="宋体"/>
          <w:szCs w:val="18"/>
          <w:u w:val="single"/>
        </w:rPr>
        <w:t xml:space="preserve"> </w:t>
      </w:r>
      <w:r>
        <w:rPr>
          <w:rFonts w:hint="eastAsia" w:ascii="宋体" w:hAnsi="宋体"/>
          <w:szCs w:val="18"/>
          <w:u w:val="single"/>
        </w:rPr>
        <w:t>tianhong@minshenglife.com</w:t>
      </w:r>
      <w:r>
        <w:rPr>
          <w:rFonts w:ascii="宋体" w:hAnsi="宋体"/>
          <w:szCs w:val="18"/>
          <w:u w:val="single"/>
        </w:rPr>
        <w:t xml:space="preserve"> </w:t>
      </w: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sz w:val="18"/>
          <w:szCs w:val="18"/>
        </w:rPr>
      </w:pPr>
    </w:p>
    <w:p>
      <w:pPr>
        <w:spacing w:line="360" w:lineRule="auto"/>
        <w:rPr>
          <w:vanish/>
          <w:sz w:val="18"/>
          <w:szCs w:val="18"/>
        </w:rPr>
      </w:pPr>
    </w:p>
    <w:p>
      <w:pPr>
        <w:spacing w:line="360" w:lineRule="auto"/>
        <w:jc w:val="right"/>
        <w:rPr>
          <w:rFonts w:ascii="宋体" w:hAnsi="宋体"/>
          <w:szCs w:val="21"/>
        </w:rPr>
      </w:pPr>
    </w:p>
    <w:p>
      <w:pPr>
        <w:pStyle w:val="2"/>
        <w:spacing w:line="360" w:lineRule="auto"/>
      </w:pPr>
      <w:bookmarkStart w:id="8" w:name="_Toc535921087"/>
      <w:bookmarkStart w:id="9" w:name="_Toc26351154"/>
      <w:r>
        <w:rPr>
          <w:rFonts w:hint="eastAsia"/>
        </w:rPr>
        <w:t>第三部分</w:t>
      </w:r>
      <w:r>
        <w:t xml:space="preserve"> </w:t>
      </w:r>
      <w:r>
        <w:rPr>
          <w:rFonts w:hint="eastAsia"/>
        </w:rPr>
        <w:t>投标人</w:t>
      </w:r>
      <w:bookmarkEnd w:id="8"/>
      <w:bookmarkEnd w:id="9"/>
    </w:p>
    <w:p/>
    <w:p>
      <w:pPr>
        <w:spacing w:line="360" w:lineRule="auto"/>
        <w:ind w:firstLine="420" w:firstLineChars="20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pStyle w:val="2"/>
        <w:spacing w:line="360" w:lineRule="auto"/>
      </w:pPr>
      <w:bookmarkStart w:id="10" w:name="_Toc535921088"/>
      <w:bookmarkStart w:id="11" w:name="_Toc26351155"/>
      <w:r>
        <w:rPr>
          <w:rFonts w:hint="eastAsia"/>
        </w:rPr>
        <w:t>第四部分</w:t>
      </w:r>
      <w:r>
        <w:t xml:space="preserve"> </w:t>
      </w:r>
      <w:r>
        <w:rPr>
          <w:rFonts w:hint="eastAsia"/>
        </w:rPr>
        <w:t>投标书</w:t>
      </w:r>
      <w:bookmarkEnd w:id="10"/>
      <w:bookmarkEnd w:id="11"/>
    </w:p>
    <w:p>
      <w:pPr>
        <w:spacing w:line="360" w:lineRule="auto"/>
        <w:rPr>
          <w:rFonts w:ascii="Verdana" w:hAnsi="Verdana"/>
          <w:b/>
          <w:szCs w:val="21"/>
        </w:rPr>
      </w:pPr>
    </w:p>
    <w:p>
      <w:pPr>
        <w:pStyle w:val="3"/>
        <w:spacing w:line="360" w:lineRule="auto"/>
        <w:rPr>
          <w:b w:val="0"/>
        </w:rPr>
      </w:pPr>
      <w:bookmarkStart w:id="12" w:name="_Toc26351156"/>
      <w:bookmarkStart w:id="13" w:name="_Toc535921089"/>
      <w:r>
        <w:rPr>
          <w:rFonts w:hint="eastAsia"/>
        </w:rPr>
        <w:t>一、投标报价（重要）</w:t>
      </w:r>
      <w:bookmarkEnd w:id="12"/>
      <w:bookmarkEnd w:id="13"/>
    </w:p>
    <w:p>
      <w:pPr>
        <w:ind w:firstLine="420" w:firstLineChars="200"/>
      </w:pPr>
      <w:r>
        <w:rPr>
          <w:rFonts w:hint="eastAsia"/>
        </w:rPr>
        <w:t>投标人按照招标人要求的内容，分别核算并报价，此报价应包含税金、成本费、包装费、保险费、运输费和伴随服务费及有可能产生的一切费用，为招标人最终向投标人支付的金额。</w:t>
      </w:r>
    </w:p>
    <w:p>
      <w:pPr>
        <w:spacing w:line="360" w:lineRule="auto"/>
        <w:rPr>
          <w:rFonts w:ascii="Verdana" w:hAnsi="Verdana"/>
          <w:szCs w:val="21"/>
          <w:u w:val="single"/>
        </w:rPr>
      </w:pPr>
    </w:p>
    <w:p>
      <w:pPr>
        <w:pStyle w:val="3"/>
        <w:spacing w:line="360" w:lineRule="auto"/>
      </w:pPr>
      <w:bookmarkStart w:id="14" w:name="_Toc26351157"/>
      <w:bookmarkStart w:id="15" w:name="_Toc535921090"/>
      <w:r>
        <w:rPr>
          <w:rFonts w:hint="eastAsia"/>
        </w:rPr>
        <w:t>二、投标书编写说明</w:t>
      </w:r>
      <w:bookmarkEnd w:id="14"/>
      <w:bookmarkEnd w:id="15"/>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投标函；</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开标一览表（用于唱标）；</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规格性能、技术、商务偏离表；</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资格文件；</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质量、商务及售后承诺；</w:t>
      </w:r>
    </w:p>
    <w:p>
      <w:pPr>
        <w:pStyle w:val="26"/>
        <w:numPr>
          <w:ilvl w:val="2"/>
          <w:numId w:val="5"/>
        </w:numPr>
        <w:tabs>
          <w:tab w:val="left" w:pos="1080"/>
          <w:tab w:val="clear" w:pos="1560"/>
        </w:tabs>
        <w:spacing w:before="0" w:beforeAutospacing="0" w:after="0" w:afterAutospacing="0" w:line="360" w:lineRule="auto"/>
        <w:ind w:left="1080"/>
        <w:rPr>
          <w:sz w:val="21"/>
          <w:szCs w:val="18"/>
        </w:rPr>
      </w:pPr>
      <w:r>
        <w:rPr>
          <w:rFonts w:hint="eastAsia"/>
          <w:sz w:val="21"/>
          <w:szCs w:val="18"/>
        </w:rPr>
        <w:t>其他文件。</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资格证明文件及相关说明：</w:t>
      </w:r>
    </w:p>
    <w:p>
      <w:pPr>
        <w:pStyle w:val="26"/>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pPr>
        <w:pStyle w:val="26"/>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投标书报价</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投标书有效期：投标书自开标之日起60天</w:t>
      </w:r>
      <w:r>
        <w:rPr>
          <w:sz w:val="21"/>
          <w:szCs w:val="18"/>
        </w:rPr>
        <w:t>内有效。</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投标书的书写要求：</w:t>
      </w:r>
    </w:p>
    <w:p>
      <w:pPr>
        <w:pStyle w:val="26"/>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pPr>
        <w:pStyle w:val="26"/>
        <w:spacing w:before="0" w:beforeAutospacing="0" w:after="0" w:afterAutospacing="0" w:line="360" w:lineRule="auto"/>
        <w:ind w:left="420"/>
        <w:rPr>
          <w:sz w:val="21"/>
          <w:szCs w:val="18"/>
        </w:rPr>
      </w:pPr>
      <w:r>
        <w:rPr>
          <w:rFonts w:hint="eastAsia"/>
          <w:sz w:val="21"/>
          <w:szCs w:val="18"/>
        </w:rPr>
        <w:t>（2）投标书的书写应清楚工整，凡修改处应由投标全权代表盖章。</w:t>
      </w:r>
    </w:p>
    <w:p>
      <w:pPr>
        <w:pStyle w:val="26"/>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pPr>
        <w:pStyle w:val="26"/>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pPr>
        <w:pStyle w:val="26"/>
        <w:numPr>
          <w:ilvl w:val="1"/>
          <w:numId w:val="5"/>
        </w:numPr>
        <w:tabs>
          <w:tab w:val="left" w:pos="360"/>
          <w:tab w:val="clear" w:pos="78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1）投标人提供的投标书不完整；</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2）投标书未按招标书的规定签署；</w:t>
      </w:r>
    </w:p>
    <w:p>
      <w:pPr>
        <w:pStyle w:val="15"/>
        <w:tabs>
          <w:tab w:val="left" w:pos="540"/>
          <w:tab w:val="left" w:pos="900"/>
          <w:tab w:val="left" w:pos="1080"/>
        </w:tabs>
        <w:spacing w:line="360" w:lineRule="auto"/>
        <w:ind w:firstLine="420"/>
        <w:rPr>
          <w:rFonts w:hAnsi="宋体"/>
        </w:rPr>
      </w:pPr>
      <w:r>
        <w:rPr>
          <w:rFonts w:hint="eastAsia" w:hAnsi="宋体"/>
        </w:rPr>
        <w:t>（3</w:t>
      </w:r>
      <w:r>
        <w:rPr>
          <w:rFonts w:hAnsi="宋体"/>
        </w:rPr>
        <w:t xml:space="preserve">）未按规定报价； </w:t>
      </w:r>
    </w:p>
    <w:p>
      <w:pPr>
        <w:pStyle w:val="15"/>
        <w:tabs>
          <w:tab w:val="left" w:pos="540"/>
          <w:tab w:val="left" w:pos="900"/>
          <w:tab w:val="left" w:pos="1080"/>
        </w:tabs>
        <w:spacing w:line="360" w:lineRule="auto"/>
        <w:ind w:left="420"/>
        <w:rPr>
          <w:rFonts w:hAnsi="宋体"/>
        </w:rPr>
      </w:pPr>
      <w:r>
        <w:rPr>
          <w:rFonts w:hint="eastAsia" w:hAnsi="宋体"/>
        </w:rPr>
        <w:t>（4</w:t>
      </w:r>
      <w:r>
        <w:rPr>
          <w:rFonts w:hAnsi="宋体"/>
        </w:rPr>
        <w:t>）投标人对招标书的要求未做出实质性响应；</w:t>
      </w:r>
    </w:p>
    <w:p>
      <w:pPr>
        <w:pStyle w:val="15"/>
        <w:tabs>
          <w:tab w:val="left" w:pos="540"/>
          <w:tab w:val="left" w:pos="900"/>
          <w:tab w:val="left" w:pos="1080"/>
        </w:tabs>
        <w:spacing w:line="360" w:lineRule="auto"/>
        <w:ind w:left="420"/>
        <w:rPr>
          <w:rFonts w:hAnsi="宋体"/>
        </w:rPr>
      </w:pPr>
      <w:r>
        <w:rPr>
          <w:rFonts w:hint="eastAsia" w:hAnsi="宋体"/>
        </w:rPr>
        <w:t>（5</w:t>
      </w:r>
      <w:r>
        <w:rPr>
          <w:rFonts w:hAnsi="宋体"/>
        </w:rPr>
        <w:t>）投标人不</w:t>
      </w:r>
      <w:r>
        <w:rPr>
          <w:rFonts w:hint="eastAsia" w:hAnsi="宋体"/>
        </w:rPr>
        <w:t>按照招标人的通知要求</w:t>
      </w:r>
      <w:r>
        <w:rPr>
          <w:rFonts w:hAnsi="宋体"/>
        </w:rPr>
        <w:t>参加询标事宜；</w:t>
      </w:r>
    </w:p>
    <w:p>
      <w:pPr>
        <w:pStyle w:val="15"/>
        <w:tabs>
          <w:tab w:val="left" w:pos="540"/>
          <w:tab w:val="left" w:pos="900"/>
          <w:tab w:val="left" w:pos="1080"/>
        </w:tabs>
        <w:spacing w:line="360" w:lineRule="auto"/>
        <w:ind w:left="420"/>
        <w:rPr>
          <w:rFonts w:hAnsi="宋体"/>
        </w:rPr>
      </w:pPr>
      <w:r>
        <w:rPr>
          <w:rFonts w:hint="eastAsia" w:hAnsi="宋体"/>
        </w:rPr>
        <w:t>（6</w:t>
      </w:r>
      <w:r>
        <w:rPr>
          <w:rFonts w:hAnsi="宋体"/>
        </w:rPr>
        <w:t>）以联合体</w:t>
      </w:r>
      <w:r>
        <w:rPr>
          <w:rFonts w:hint="eastAsia" w:hAnsi="宋体"/>
        </w:rPr>
        <w:t>形式</w:t>
      </w:r>
      <w:r>
        <w:rPr>
          <w:rFonts w:hAnsi="宋体"/>
        </w:rPr>
        <w:t>投标</w:t>
      </w:r>
      <w:r>
        <w:rPr>
          <w:rFonts w:hint="eastAsia" w:hAnsi="宋体"/>
        </w:rPr>
        <w:t>未说明及提供相应文件的</w:t>
      </w:r>
      <w:r>
        <w:rPr>
          <w:rFonts w:hAnsi="宋体"/>
        </w:rPr>
        <w:t>；</w:t>
      </w:r>
    </w:p>
    <w:p>
      <w:pPr>
        <w:pStyle w:val="15"/>
        <w:tabs>
          <w:tab w:val="left" w:pos="540"/>
          <w:tab w:val="left" w:pos="900"/>
          <w:tab w:val="left" w:pos="1080"/>
        </w:tabs>
        <w:spacing w:line="360" w:lineRule="auto"/>
        <w:ind w:left="420"/>
        <w:rPr>
          <w:rFonts w:hAnsi="宋体"/>
        </w:rPr>
      </w:pPr>
      <w:r>
        <w:rPr>
          <w:rFonts w:hint="eastAsia" w:hAnsi="宋体"/>
        </w:rPr>
        <w:t>（7</w:t>
      </w:r>
      <w:r>
        <w:rPr>
          <w:rFonts w:hAnsi="宋体"/>
        </w:rPr>
        <w:t>）法律、法规规定的其他情况。</w:t>
      </w:r>
    </w:p>
    <w:p>
      <w:pPr>
        <w:pStyle w:val="15"/>
        <w:tabs>
          <w:tab w:val="left" w:pos="360"/>
        </w:tabs>
        <w:spacing w:line="360" w:lineRule="auto"/>
        <w:ind w:left="359" w:hanging="359" w:hangingChars="171"/>
        <w:rPr>
          <w:rFonts w:hAnsi="宋体"/>
        </w:rPr>
      </w:pPr>
      <w:r>
        <w:rPr>
          <w:rFonts w:hint="eastAsia" w:hAnsi="宋体"/>
        </w:rPr>
        <w:t>8</w:t>
      </w:r>
      <w:r>
        <w:rPr>
          <w:rFonts w:hAnsi="宋体"/>
        </w:rPr>
        <w:t>、投标人有下列情况之一，其投标被视为废标</w:t>
      </w:r>
      <w:r>
        <w:rPr>
          <w:rFonts w:hint="eastAsia" w:hAnsi="宋体"/>
        </w:rPr>
        <w:t>，</w:t>
      </w:r>
      <w:r>
        <w:rPr>
          <w:rFonts w:hAnsi="宋体"/>
        </w:rPr>
        <w:t>投标人</w:t>
      </w:r>
      <w:r>
        <w:rPr>
          <w:rFonts w:hint="eastAsia" w:hAnsi="宋体"/>
        </w:rPr>
        <w:t>的投标资格或中标资格将被取消</w:t>
      </w:r>
      <w:r>
        <w:rPr>
          <w:rFonts w:hAnsi="宋体"/>
        </w:rPr>
        <w:t>。投标人给招标人造成损失的，招标人有索赔的权利</w:t>
      </w:r>
      <w:r>
        <w:rPr>
          <w:rFonts w:hint="eastAsia" w:hAnsi="宋体"/>
        </w:rPr>
        <w:t>。</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投标人提供的有关资格、资质证明文件不真实或提供虚假资料；</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投标人在有效投标期内撤回投标；</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在整个投标过程中，投标人有企图影响招标结果的任何活动；</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投标人以任何的方式诋毁其他投标人</w:t>
      </w:r>
      <w:r>
        <w:rPr>
          <w:rFonts w:hint="eastAsia" w:hAnsi="宋体"/>
        </w:rPr>
        <w:t>，排挤其他投标人的公平竞争</w:t>
      </w:r>
      <w:r>
        <w:rPr>
          <w:rFonts w:hAnsi="宋体"/>
        </w:rPr>
        <w:t>；</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投标人串通投标，投标人向招标人、用户、评标小组成员提供不正当利益；</w:t>
      </w:r>
    </w:p>
    <w:p>
      <w:pPr>
        <w:pStyle w:val="15"/>
        <w:numPr>
          <w:ilvl w:val="0"/>
          <w:numId w:val="7"/>
        </w:numPr>
        <w:tabs>
          <w:tab w:val="left" w:pos="0"/>
          <w:tab w:val="left" w:pos="360"/>
          <w:tab w:val="left" w:pos="1080"/>
          <w:tab w:val="clear" w:pos="1560"/>
        </w:tabs>
        <w:spacing w:line="360" w:lineRule="auto"/>
        <w:ind w:left="1080"/>
        <w:rPr>
          <w:rFonts w:hAnsi="宋体"/>
        </w:rPr>
      </w:pPr>
      <w:r>
        <w:rPr>
          <w:rFonts w:hint="eastAsia"/>
          <w:szCs w:val="18"/>
        </w:rPr>
        <w:t>投标人以他人名义投标或者以其他方式弄虚作假；</w:t>
      </w:r>
    </w:p>
    <w:p>
      <w:pPr>
        <w:pStyle w:val="15"/>
        <w:numPr>
          <w:ilvl w:val="0"/>
          <w:numId w:val="7"/>
        </w:numPr>
        <w:tabs>
          <w:tab w:val="left" w:pos="0"/>
          <w:tab w:val="left" w:pos="360"/>
          <w:tab w:val="left" w:pos="1080"/>
          <w:tab w:val="clear" w:pos="1560"/>
        </w:tabs>
        <w:spacing w:line="360" w:lineRule="auto"/>
        <w:ind w:left="1080"/>
        <w:rPr>
          <w:rFonts w:hAnsi="宋体"/>
        </w:rPr>
      </w:pPr>
      <w:r>
        <w:rPr>
          <w:rFonts w:hAnsi="宋体"/>
        </w:rPr>
        <w:t>中标人不按规定签订合同；</w:t>
      </w:r>
    </w:p>
    <w:p>
      <w:pPr>
        <w:pStyle w:val="15"/>
        <w:numPr>
          <w:ilvl w:val="0"/>
          <w:numId w:val="7"/>
        </w:numPr>
        <w:tabs>
          <w:tab w:val="left" w:pos="0"/>
          <w:tab w:val="left" w:pos="360"/>
          <w:tab w:val="left" w:pos="1080"/>
          <w:tab w:val="clear" w:pos="1560"/>
        </w:tabs>
        <w:spacing w:line="360" w:lineRule="auto"/>
        <w:ind w:left="1080"/>
      </w:pPr>
      <w:r>
        <w:rPr>
          <w:rFonts w:hint="eastAsia" w:hAnsi="宋体"/>
        </w:rPr>
        <w:t>违反</w:t>
      </w:r>
      <w:r>
        <w:rPr>
          <w:rFonts w:hAnsi="宋体"/>
        </w:rPr>
        <w:t>法律、法规规定的其他情况。</w:t>
      </w: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rPr>
          <w:rFonts w:hAnsi="宋体"/>
        </w:rPr>
      </w:pPr>
    </w:p>
    <w:p>
      <w:pPr>
        <w:pStyle w:val="15"/>
        <w:tabs>
          <w:tab w:val="left" w:pos="0"/>
          <w:tab w:val="left" w:pos="360"/>
        </w:tabs>
        <w:spacing w:line="360" w:lineRule="auto"/>
      </w:pPr>
    </w:p>
    <w:p>
      <w:pPr>
        <w:pStyle w:val="3"/>
        <w:spacing w:line="360" w:lineRule="auto"/>
      </w:pPr>
      <w:bookmarkStart w:id="16" w:name="_Toc535921091"/>
      <w:bookmarkStart w:id="17" w:name="_Toc26351158"/>
      <w:r>
        <w:rPr>
          <w:rFonts w:hint="eastAsia"/>
        </w:rPr>
        <w:t>三、投标书内容</w:t>
      </w:r>
      <w:bookmarkEnd w:id="16"/>
      <w:bookmarkEnd w:id="17"/>
    </w:p>
    <w:p>
      <w:pPr>
        <w:pStyle w:val="26"/>
        <w:spacing w:before="0" w:beforeAutospacing="0" w:after="0" w:afterAutospacing="0" w:line="360" w:lineRule="auto"/>
        <w:ind w:firstLine="422" w:firstLineChars="200"/>
        <w:rPr>
          <w:rFonts w:ascii="楷体_GB2312" w:eastAsia="楷体_GB2312"/>
          <w:b/>
          <w:bCs/>
          <w:sz w:val="21"/>
          <w:szCs w:val="21"/>
        </w:rPr>
      </w:pPr>
      <w:r>
        <w:rPr>
          <w:rFonts w:hint="eastAsia" w:ascii="楷体_GB2312" w:eastAsia="楷体_GB2312"/>
          <w:b/>
          <w:bCs/>
          <w:sz w:val="21"/>
          <w:szCs w:val="21"/>
        </w:rPr>
        <w:t>注：需按下列顺序装订投标书</w:t>
      </w:r>
    </w:p>
    <w:p>
      <w:pPr>
        <w:pStyle w:val="3"/>
        <w:spacing w:line="360" w:lineRule="auto"/>
      </w:pPr>
      <w:bookmarkStart w:id="18" w:name="_Toc535921092"/>
      <w:bookmarkStart w:id="19" w:name="_Toc26351159"/>
      <w:r>
        <w:rPr>
          <w:rFonts w:hint="eastAsia"/>
        </w:rPr>
        <w:t>（一）投标书封面（格式）</w:t>
      </w:r>
      <w:bookmarkEnd w:id="18"/>
      <w:bookmarkEnd w:id="19"/>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6"/>
              <w:spacing w:before="0" w:beforeAutospacing="0" w:after="0" w:afterAutospacing="0" w:line="360" w:lineRule="auto"/>
              <w:jc w:val="center"/>
              <w:rPr>
                <w:b/>
                <w:bCs/>
                <w:sz w:val="21"/>
                <w:szCs w:val="48"/>
              </w:rPr>
            </w:pPr>
          </w:p>
          <w:p>
            <w:pPr>
              <w:pStyle w:val="26"/>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pPr>
              <w:pStyle w:val="26"/>
              <w:spacing w:before="0" w:beforeAutospacing="0" w:after="0" w:afterAutospacing="0" w:line="360" w:lineRule="auto"/>
              <w:rPr>
                <w:sz w:val="21"/>
                <w:szCs w:val="18"/>
              </w:rPr>
            </w:pPr>
            <w:r>
              <w:rPr>
                <w:rFonts w:hint="eastAsia"/>
                <w:sz w:val="21"/>
              </w:rPr>
              <w:t>　项 目 名 称：</w:t>
            </w:r>
            <w:r>
              <w:rPr>
                <w:sz w:val="21"/>
              </w:rPr>
              <w:br w:type="textWrapping"/>
            </w:r>
            <w:r>
              <w:rPr>
                <w:sz w:val="21"/>
              </w:rPr>
              <w:br w:type="textWrapping"/>
            </w:r>
            <w:r>
              <w:rPr>
                <w:rFonts w:hint="eastAsia"/>
                <w:sz w:val="21"/>
              </w:rPr>
              <w:t>　投 标 单 位：</w:t>
            </w:r>
            <w:r>
              <w:rPr>
                <w:sz w:val="21"/>
              </w:rPr>
              <w:br w:type="textWrapping"/>
            </w:r>
            <w:r>
              <w:rPr>
                <w:sz w:val="21"/>
              </w:rPr>
              <w:br w:type="textWrapping"/>
            </w:r>
            <w:r>
              <w:rPr>
                <w:rFonts w:hint="eastAsia"/>
                <w:sz w:val="21"/>
              </w:rPr>
              <w:t>　投标人全权代表：</w:t>
            </w:r>
          </w:p>
          <w:p>
            <w:pPr>
              <w:pStyle w:val="26"/>
              <w:spacing w:before="0" w:beforeAutospacing="0" w:after="0" w:afterAutospacing="0" w:line="360" w:lineRule="auto"/>
              <w:rPr>
                <w:sz w:val="21"/>
                <w:szCs w:val="18"/>
              </w:rPr>
            </w:pPr>
            <w:r>
              <w:rPr>
                <w:sz w:val="21"/>
                <w:szCs w:val="18"/>
              </w:rPr>
              <w:t> </w:t>
            </w:r>
          </w:p>
          <w:p>
            <w:pPr>
              <w:pStyle w:val="26"/>
              <w:spacing w:before="0" w:beforeAutospacing="0" w:after="0" w:afterAutospacing="0" w:line="360" w:lineRule="auto"/>
              <w:ind w:firstLine="210" w:firstLineChars="100"/>
              <w:rPr>
                <w:sz w:val="21"/>
              </w:rPr>
            </w:pPr>
            <w:r>
              <w:rPr>
                <w:rFonts w:hint="eastAsia"/>
                <w:sz w:val="21"/>
                <w:szCs w:val="18"/>
              </w:rPr>
              <w:t>联系方式(手机)</w:t>
            </w:r>
            <w:r>
              <w:rPr>
                <w:rFonts w:hint="eastAsia"/>
                <w:sz w:val="21"/>
              </w:rPr>
              <w:t>：</w:t>
            </w:r>
          </w:p>
          <w:p>
            <w:pPr>
              <w:pStyle w:val="26"/>
              <w:spacing w:before="0" w:beforeAutospacing="0" w:after="0" w:afterAutospacing="0" w:line="360" w:lineRule="auto"/>
              <w:ind w:firstLine="1050" w:firstLineChars="500"/>
              <w:rPr>
                <w:sz w:val="21"/>
                <w:szCs w:val="18"/>
              </w:rPr>
            </w:pPr>
            <w:r>
              <w:rPr>
                <w:rFonts w:hint="eastAsia"/>
                <w:sz w:val="21"/>
                <w:szCs w:val="18"/>
              </w:rPr>
              <w:t>(座机)</w:t>
            </w:r>
            <w:r>
              <w:rPr>
                <w:rFonts w:hint="eastAsia"/>
                <w:sz w:val="21"/>
              </w:rPr>
              <w:t>：</w:t>
            </w:r>
          </w:p>
          <w:p>
            <w:pPr>
              <w:pStyle w:val="26"/>
              <w:spacing w:before="0" w:beforeAutospacing="0" w:after="0" w:afterAutospacing="0" w:line="360" w:lineRule="auto"/>
              <w:ind w:firstLine="1050" w:firstLineChars="500"/>
              <w:rPr>
                <w:sz w:val="21"/>
                <w:szCs w:val="18"/>
              </w:rPr>
            </w:pPr>
            <w:r>
              <w:rPr>
                <w:rFonts w:hint="eastAsia"/>
                <w:sz w:val="21"/>
                <w:szCs w:val="18"/>
              </w:rPr>
              <w:t>(邮箱)</w:t>
            </w:r>
            <w:r>
              <w:rPr>
                <w:rFonts w:hint="eastAsia"/>
                <w:sz w:val="21"/>
              </w:rPr>
              <w:t>：</w:t>
            </w:r>
          </w:p>
          <w:p>
            <w:pPr>
              <w:pStyle w:val="26"/>
              <w:spacing w:before="0" w:beforeAutospacing="0" w:after="0" w:afterAutospacing="0" w:line="360" w:lineRule="auto"/>
              <w:ind w:firstLine="210" w:firstLineChars="100"/>
              <w:rPr>
                <w:sz w:val="21"/>
                <w:szCs w:val="18"/>
              </w:rPr>
            </w:pPr>
          </w:p>
          <w:p>
            <w:pPr>
              <w:pStyle w:val="26"/>
              <w:spacing w:before="0" w:beforeAutospacing="0" w:after="0" w:afterAutospacing="0" w:line="360" w:lineRule="auto"/>
              <w:ind w:firstLine="210" w:firstLineChars="100"/>
              <w:rPr>
                <w:sz w:val="21"/>
                <w:szCs w:val="18"/>
              </w:rPr>
            </w:pPr>
          </w:p>
          <w:p>
            <w:pPr>
              <w:pStyle w:val="26"/>
              <w:spacing w:before="0" w:beforeAutospacing="0" w:after="0" w:afterAutospacing="0" w:line="360" w:lineRule="auto"/>
              <w:ind w:firstLine="4410" w:firstLineChars="2100"/>
              <w:rPr>
                <w:sz w:val="21"/>
                <w:szCs w:val="18"/>
              </w:rPr>
            </w:pPr>
            <w:r>
              <w:rPr>
                <w:rStyle w:val="50"/>
                <w:rFonts w:hint="eastAsia"/>
                <w:sz w:val="21"/>
              </w:rPr>
              <w:t>投标人：　　　　　　　　　　（公章）</w:t>
            </w:r>
          </w:p>
          <w:p>
            <w:pPr>
              <w:pStyle w:val="26"/>
              <w:spacing w:before="0" w:beforeAutospacing="0" w:after="0" w:afterAutospacing="0" w:line="360" w:lineRule="auto"/>
              <w:jc w:val="center"/>
              <w:rPr>
                <w:sz w:val="21"/>
                <w:szCs w:val="18"/>
              </w:rPr>
            </w:pPr>
            <w:r>
              <w:rPr>
                <w:sz w:val="21"/>
                <w:szCs w:val="18"/>
              </w:rPr>
              <w:t xml:space="preserve"> </w:t>
            </w:r>
          </w:p>
          <w:p>
            <w:pPr>
              <w:pStyle w:val="8"/>
              <w:spacing w:line="360" w:lineRule="auto"/>
              <w:ind w:firstLine="5600" w:firstLineChars="2800"/>
            </w:pPr>
            <w:r>
              <w:rPr>
                <w:rFonts w:hint="eastAsia"/>
              </w:rPr>
              <w:t>年</w:t>
            </w:r>
            <w:r>
              <w:t xml:space="preserve"> </w:t>
            </w:r>
            <w:r>
              <w:rPr>
                <w:rFonts w:hint="eastAsia"/>
              </w:rPr>
              <w:t>　　月　　日</w:t>
            </w:r>
          </w:p>
        </w:tc>
      </w:tr>
    </w:tbl>
    <w:p>
      <w:pPr>
        <w:pStyle w:val="3"/>
        <w:spacing w:line="360" w:lineRule="auto"/>
      </w:pPr>
      <w:bookmarkStart w:id="20" w:name="_Toc26351160"/>
      <w:bookmarkStart w:id="21" w:name="_Toc535921093"/>
      <w:r>
        <w:rPr>
          <w:rFonts w:hint="eastAsia"/>
        </w:rPr>
        <w:t>（二）目录</w:t>
      </w:r>
      <w:bookmarkEnd w:id="20"/>
      <w:bookmarkEnd w:id="21"/>
    </w:p>
    <w:p>
      <w:pPr>
        <w:pStyle w:val="8"/>
        <w:spacing w:line="360" w:lineRule="auto"/>
        <w:ind w:firstLine="0"/>
        <w:rPr>
          <w:rFonts w:eastAsia="楷体_GB2312"/>
          <w:b/>
          <w:bCs/>
          <w:sz w:val="21"/>
          <w:szCs w:val="21"/>
        </w:rPr>
      </w:pPr>
      <w:r>
        <w:rPr>
          <w:rFonts w:eastAsia="楷体_GB2312"/>
          <w:b/>
          <w:bCs/>
          <w:sz w:val="21"/>
          <w:szCs w:val="21"/>
        </w:rPr>
        <w:t xml:space="preserve">   </w:t>
      </w:r>
      <w:r>
        <w:rPr>
          <w:rFonts w:hint="eastAsia" w:eastAsia="楷体_GB2312"/>
          <w:b/>
          <w:bCs/>
          <w:sz w:val="21"/>
          <w:szCs w:val="21"/>
        </w:rPr>
        <w:t>说明：请根据标书实际内容编制目录</w:t>
      </w:r>
    </w:p>
    <w:p>
      <w:pPr>
        <w:pStyle w:val="3"/>
        <w:spacing w:line="360" w:lineRule="auto"/>
      </w:pPr>
      <w:bookmarkStart w:id="22" w:name="_Toc535921094"/>
      <w:bookmarkStart w:id="23" w:name="_Toc26351161"/>
      <w:r>
        <w:rPr>
          <w:rFonts w:hint="eastAsia"/>
        </w:rPr>
        <w:t>（三）正文</w:t>
      </w:r>
      <w:bookmarkEnd w:id="22"/>
      <w:bookmarkEnd w:id="23"/>
    </w:p>
    <w:p>
      <w:pPr>
        <w:pStyle w:val="4"/>
        <w:spacing w:line="360" w:lineRule="auto"/>
      </w:pPr>
      <w:bookmarkStart w:id="24" w:name="_Toc535921095"/>
      <w:bookmarkStart w:id="25" w:name="_Toc26351162"/>
      <w:r>
        <w:t>1</w:t>
      </w:r>
      <w:r>
        <w:rPr>
          <w:rFonts w:hint="eastAsia"/>
        </w:rPr>
        <w:t>、投标书（格式）</w:t>
      </w:r>
      <w:bookmarkEnd w:id="24"/>
      <w:bookmarkEnd w:id="25"/>
    </w:p>
    <w:p/>
    <w:p>
      <w:pPr>
        <w:pStyle w:val="26"/>
        <w:spacing w:before="0" w:beforeAutospacing="0" w:after="0" w:afterAutospacing="0" w:line="360" w:lineRule="auto"/>
        <w:jc w:val="center"/>
        <w:rPr>
          <w:b/>
          <w:bCs/>
          <w:sz w:val="28"/>
          <w:szCs w:val="18"/>
        </w:rPr>
      </w:pPr>
      <w:r>
        <w:rPr>
          <w:rFonts w:hint="eastAsia"/>
          <w:b/>
          <w:bCs/>
          <w:sz w:val="28"/>
          <w:szCs w:val="18"/>
        </w:rPr>
        <w:t>投　标　函</w:t>
      </w:r>
    </w:p>
    <w:p>
      <w:pPr>
        <w:pStyle w:val="26"/>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pPr>
        <w:pStyle w:val="26"/>
        <w:spacing w:before="0" w:beforeAutospacing="0" w:after="0" w:afterAutospacing="0" w:line="360" w:lineRule="auto"/>
        <w:ind w:firstLine="420" w:firstLineChars="20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（注册地址）注册的投标人_______________（投标人名称）提交下述文件正本一份和副本一式__五____份。</w:t>
      </w:r>
    </w:p>
    <w:p>
      <w:pPr>
        <w:pStyle w:val="26"/>
        <w:spacing w:before="0" w:beforeAutospacing="0" w:after="0" w:afterAutospacing="0" w:line="360" w:lineRule="auto"/>
        <w:ind w:firstLine="210" w:firstLineChars="100"/>
        <w:rPr>
          <w:sz w:val="21"/>
          <w:szCs w:val="18"/>
        </w:rPr>
      </w:pPr>
      <w:r>
        <w:rPr>
          <w:rFonts w:hint="eastAsia"/>
          <w:sz w:val="21"/>
          <w:szCs w:val="18"/>
        </w:rPr>
        <w:t>（1）</w:t>
      </w:r>
      <w:r>
        <w:rPr>
          <w:sz w:val="21"/>
          <w:szCs w:val="18"/>
        </w:rPr>
        <w:t xml:space="preserve"> </w:t>
      </w:r>
      <w:r>
        <w:rPr>
          <w:rFonts w:hint="eastAsia"/>
          <w:sz w:val="21"/>
          <w:szCs w:val="18"/>
        </w:rPr>
        <w:t>开标一览表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pPr>
        <w:pStyle w:val="26"/>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pPr>
        <w:pStyle w:val="26"/>
        <w:spacing w:before="0" w:beforeAutospacing="0" w:after="0" w:afterAutospacing="0" w:line="360" w:lineRule="auto"/>
        <w:rPr>
          <w:sz w:val="21"/>
          <w:szCs w:val="18"/>
        </w:rPr>
      </w:pPr>
      <w:r>
        <w:rPr>
          <w:rFonts w:hint="eastAsia"/>
          <w:sz w:val="21"/>
          <w:szCs w:val="18"/>
        </w:rPr>
        <w:t xml:space="preserve">  投标人、全权代表宣布同意如下：</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pPr>
        <w:pStyle w:val="26"/>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pPr>
        <w:pStyle w:val="26"/>
        <w:spacing w:before="0" w:beforeAutospacing="0" w:after="0" w:afterAutospacing="0" w:line="360" w:lineRule="auto"/>
        <w:ind w:firstLine="210" w:firstLineChars="100"/>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pPr>
        <w:pStyle w:val="26"/>
        <w:spacing w:before="0" w:beforeAutospacing="0" w:after="0" w:afterAutospacing="0" w:line="360" w:lineRule="auto"/>
        <w:ind w:firstLine="210" w:firstLineChars="100"/>
        <w:rPr>
          <w:sz w:val="21"/>
          <w:szCs w:val="18"/>
        </w:rPr>
      </w:pPr>
      <w:r>
        <w:rPr>
          <w:rFonts w:hint="eastAsia"/>
          <w:sz w:val="21"/>
          <w:szCs w:val="18"/>
        </w:rPr>
        <w:t>（4）投标自开标日起有效期为六十个自然日。</w:t>
      </w:r>
    </w:p>
    <w:p>
      <w:pPr>
        <w:pStyle w:val="26"/>
        <w:spacing w:before="0" w:beforeAutospacing="0" w:after="0" w:afterAutospacing="0" w:line="360" w:lineRule="auto"/>
        <w:ind w:firstLine="210" w:firstLineChars="100"/>
        <w:rPr>
          <w:sz w:val="21"/>
          <w:szCs w:val="18"/>
        </w:rPr>
      </w:pPr>
      <w:r>
        <w:rPr>
          <w:rFonts w:hint="eastAsia"/>
          <w:sz w:val="21"/>
          <w:szCs w:val="18"/>
        </w:rPr>
        <w:t>（5）与本投标有关的一切正式往来通讯请寄：</w:t>
      </w:r>
    </w:p>
    <w:p>
      <w:pPr>
        <w:pStyle w:val="26"/>
        <w:spacing w:before="0" w:beforeAutospacing="0" w:after="0" w:afterAutospacing="0" w:line="360" w:lineRule="auto"/>
        <w:ind w:firstLine="210" w:firstLineChars="100"/>
        <w:rPr>
          <w:sz w:val="21"/>
          <w:szCs w:val="18"/>
        </w:rPr>
      </w:pPr>
      <w:r>
        <w:rPr>
          <w:sz w:val="21"/>
          <w:szCs w:val="18"/>
        </w:rPr>
        <w:t xml:space="preserve">     </w:t>
      </w:r>
      <w:r>
        <w:rPr>
          <w:rFonts w:hint="eastAsia"/>
          <w:sz w:val="21"/>
          <w:szCs w:val="18"/>
        </w:rPr>
        <w:t>地址：______________________________</w:t>
      </w:r>
      <w:r>
        <w:rPr>
          <w:rFonts w:hint="eastAsia"/>
          <w:sz w:val="21"/>
          <w:szCs w:val="18"/>
          <w:u w:val="single"/>
        </w:rPr>
        <w:t>_____               __</w:t>
      </w:r>
      <w:r>
        <w:rPr>
          <w:rFonts w:hint="eastAsia"/>
          <w:sz w:val="21"/>
          <w:szCs w:val="18"/>
        </w:rPr>
        <w:t>______</w:t>
      </w:r>
      <w:r>
        <w:rPr>
          <w:sz w:val="21"/>
          <w:szCs w:val="18"/>
        </w:rPr>
        <w:br w:type="textWrapping"/>
      </w:r>
      <w:r>
        <w:rPr>
          <w:sz w:val="21"/>
          <w:szCs w:val="18"/>
        </w:rPr>
        <w:t xml:space="preserve">       </w:t>
      </w:r>
      <w:r>
        <w:rPr>
          <w:rFonts w:hint="eastAsia"/>
          <w:sz w:val="21"/>
          <w:szCs w:val="18"/>
        </w:rPr>
        <w:t>邮编：______________</w:t>
      </w:r>
      <w:r>
        <w:rPr>
          <w:rFonts w:hint="eastAsia"/>
          <w:sz w:val="21"/>
          <w:szCs w:val="18"/>
          <w:u w:val="single"/>
        </w:rPr>
        <w:t>___  __</w:t>
      </w:r>
      <w:r>
        <w:rPr>
          <w:rFonts w:hint="eastAsia"/>
          <w:sz w:val="21"/>
          <w:szCs w:val="18"/>
        </w:rPr>
        <w:t>___电话：_____</w:t>
      </w:r>
      <w:r>
        <w:rPr>
          <w:rFonts w:hint="eastAsia"/>
          <w:sz w:val="21"/>
          <w:szCs w:val="18"/>
          <w:u w:val="single"/>
        </w:rPr>
        <w:t xml:space="preserve">                ____</w:t>
      </w:r>
      <w:r>
        <w:rPr>
          <w:rFonts w:hint="eastAsia"/>
          <w:sz w:val="21"/>
          <w:szCs w:val="18"/>
        </w:rPr>
        <w:t>___</w:t>
      </w:r>
      <w:r>
        <w:rPr>
          <w:sz w:val="21"/>
          <w:szCs w:val="18"/>
        </w:rPr>
        <w:br w:type="textWrapping"/>
      </w:r>
      <w:r>
        <w:rPr>
          <w:sz w:val="21"/>
          <w:szCs w:val="18"/>
        </w:rPr>
        <w:t xml:space="preserve">       </w:t>
      </w:r>
      <w:r>
        <w:rPr>
          <w:rFonts w:hint="eastAsia"/>
          <w:sz w:val="21"/>
          <w:szCs w:val="18"/>
        </w:rPr>
        <w:t>投标人全权代表姓名、职务：___________________________________</w:t>
      </w:r>
      <w:r>
        <w:rPr>
          <w:sz w:val="21"/>
          <w:szCs w:val="18"/>
        </w:rPr>
        <w:br w:type="textWrapping"/>
      </w:r>
      <w:r>
        <w:rPr>
          <w:sz w:val="21"/>
          <w:szCs w:val="18"/>
        </w:rPr>
        <w:t xml:space="preserve">      </w:t>
      </w:r>
    </w:p>
    <w:p>
      <w:pPr>
        <w:pStyle w:val="26"/>
        <w:spacing w:before="0" w:beforeAutospacing="0" w:after="0" w:afterAutospacing="0" w:line="360" w:lineRule="auto"/>
        <w:ind w:left="3990" w:leftChars="1900"/>
        <w:rPr>
          <w:sz w:val="21"/>
          <w:szCs w:val="18"/>
        </w:rPr>
      </w:pPr>
      <w:r>
        <w:rPr>
          <w:rFonts w:hint="eastAsia"/>
          <w:sz w:val="21"/>
          <w:szCs w:val="18"/>
        </w:rPr>
        <w:t>投标人名称（公章）：_______________________________</w:t>
      </w:r>
      <w:r>
        <w:rPr>
          <w:sz w:val="21"/>
          <w:szCs w:val="18"/>
        </w:rPr>
        <w:t xml:space="preserve">      </w:t>
      </w:r>
    </w:p>
    <w:p>
      <w:pPr>
        <w:pStyle w:val="26"/>
        <w:spacing w:before="0" w:beforeAutospacing="0" w:after="0" w:afterAutospacing="0" w:line="360" w:lineRule="auto"/>
        <w:ind w:left="3990" w:leftChars="1900"/>
        <w:rPr>
          <w:sz w:val="21"/>
          <w:szCs w:val="18"/>
        </w:rPr>
      </w:pPr>
      <w:r>
        <w:rPr>
          <w:rFonts w:hint="eastAsia"/>
          <w:sz w:val="21"/>
          <w:szCs w:val="18"/>
        </w:rPr>
        <w:t>法定代表人签字：</w:t>
      </w:r>
    </w:p>
    <w:p>
      <w:pPr>
        <w:pStyle w:val="26"/>
        <w:spacing w:before="0" w:beforeAutospacing="0" w:after="0" w:afterAutospacing="0" w:line="360" w:lineRule="auto"/>
        <w:ind w:left="3990" w:leftChars="1900"/>
        <w:rPr>
          <w:sz w:val="21"/>
          <w:szCs w:val="18"/>
        </w:rPr>
      </w:pPr>
      <w:r>
        <w:rPr>
          <w:rFonts w:hint="eastAsia"/>
          <w:sz w:val="21"/>
          <w:szCs w:val="18"/>
        </w:rPr>
        <w:t>日期：______年___月___</w:t>
      </w:r>
      <w:r>
        <w:rPr>
          <w:sz w:val="21"/>
          <w:szCs w:val="18"/>
        </w:rPr>
        <w:t xml:space="preserve"> </w:t>
      </w:r>
      <w:r>
        <w:rPr>
          <w:rFonts w:hint="eastAsia"/>
          <w:sz w:val="21"/>
          <w:szCs w:val="18"/>
        </w:rPr>
        <w:t>日</w:t>
      </w:r>
    </w:p>
    <w:p>
      <w:pPr>
        <w:pStyle w:val="26"/>
        <w:spacing w:before="0" w:beforeAutospacing="0" w:after="0" w:afterAutospacing="0" w:line="360" w:lineRule="auto"/>
        <w:ind w:firstLine="3990" w:firstLineChars="1900"/>
        <w:rPr>
          <w:sz w:val="21"/>
          <w:szCs w:val="18"/>
        </w:rPr>
      </w:pPr>
      <w:r>
        <w:rPr>
          <w:rFonts w:hint="eastAsia"/>
          <w:sz w:val="21"/>
          <w:szCs w:val="18"/>
        </w:rPr>
        <w:t>全权代表签字：_________________</w:t>
      </w:r>
    </w:p>
    <w:p>
      <w:pPr>
        <w:pStyle w:val="26"/>
        <w:spacing w:before="0" w:beforeAutospacing="0" w:after="0" w:afterAutospacing="0" w:line="360" w:lineRule="auto"/>
        <w:rPr>
          <w:b/>
          <w:bCs/>
          <w:sz w:val="21"/>
          <w:szCs w:val="18"/>
        </w:rPr>
      </w:pPr>
    </w:p>
    <w:p>
      <w:pPr>
        <w:pStyle w:val="4"/>
        <w:numPr>
          <w:ilvl w:val="0"/>
          <w:numId w:val="6"/>
        </w:numPr>
        <w:spacing w:line="360" w:lineRule="auto"/>
      </w:pPr>
      <w:bookmarkStart w:id="26" w:name="_Toc535921096"/>
      <w:bookmarkStart w:id="27" w:name="_Toc26351163"/>
      <w:r>
        <w:rPr>
          <w:rFonts w:hint="eastAsia"/>
        </w:rPr>
        <w:t>开标一览表（格式）</w:t>
      </w:r>
      <w:bookmarkEnd w:id="26"/>
      <w:bookmarkEnd w:id="27"/>
      <w:r>
        <w:rPr>
          <w:rFonts w:hint="eastAsia"/>
          <w:color w:val="FF0000"/>
          <w:sz w:val="24"/>
        </w:rPr>
        <w:t>须唯一且单独封装</w:t>
      </w:r>
    </w:p>
    <w:p>
      <w:pPr>
        <w:pStyle w:val="8"/>
        <w:spacing w:line="360" w:lineRule="auto"/>
        <w:ind w:firstLine="0"/>
        <w:jc w:val="center"/>
        <w:rPr>
          <w:b/>
          <w:bCs/>
          <w:sz w:val="28"/>
        </w:rPr>
      </w:pPr>
      <w:r>
        <w:rPr>
          <w:rFonts w:hint="eastAsia"/>
          <w:b/>
          <w:bCs/>
          <w:sz w:val="28"/>
        </w:rPr>
        <w:t>开标一览表</w:t>
      </w:r>
    </w:p>
    <w:p>
      <w:pPr>
        <w:pStyle w:val="8"/>
        <w:spacing w:line="360" w:lineRule="auto"/>
        <w:ind w:firstLine="0"/>
        <w:jc w:val="center"/>
        <w:rPr>
          <w:b/>
          <w:bCs/>
          <w:sz w:val="28"/>
        </w:rPr>
      </w:pPr>
      <w:r>
        <w:rPr>
          <w:rFonts w:hint="eastAsia" w:ascii="仿宋_GB2312" w:hAnsi="华文细黑" w:eastAsia="仿宋_GB2312"/>
          <w:color w:val="FF0000"/>
          <w:sz w:val="24"/>
        </w:rPr>
        <w:t>(格式可根据具体项目调整)</w:t>
      </w:r>
    </w:p>
    <w:p>
      <w:pPr>
        <w:pStyle w:val="8"/>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rPr>
        <w:t xml:space="preserve">            招标人：</w:t>
      </w:r>
      <w:r>
        <w:rPr>
          <w:sz w:val="21"/>
          <w:szCs w:val="21"/>
          <w:u w:val="single"/>
        </w:rPr>
        <w:t xml:space="preserve">                       </w:t>
      </w:r>
    </w:p>
    <w:p>
      <w:pPr>
        <w:pStyle w:val="8"/>
        <w:spacing w:line="360" w:lineRule="auto"/>
        <w:ind w:firstLine="0"/>
        <w:rPr>
          <w:sz w:val="21"/>
          <w:szCs w:val="21"/>
          <w:u w:val="single"/>
        </w:rPr>
      </w:pPr>
      <w:r>
        <w:rPr>
          <w:rFonts w:hint="eastAsia"/>
          <w:sz w:val="21"/>
          <w:szCs w:val="21"/>
        </w:rPr>
        <w:t>投标人名称：</w:t>
      </w:r>
      <w:r>
        <w:rPr>
          <w:sz w:val="21"/>
          <w:szCs w:val="21"/>
          <w:u w:val="single"/>
        </w:rPr>
        <w:t xml:space="preserve">                      </w:t>
      </w:r>
    </w:p>
    <w:p>
      <w:pPr>
        <w:spacing w:line="360" w:lineRule="auto"/>
        <w:rPr>
          <w:b/>
          <w:bCs/>
          <w:szCs w:val="1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gridCol w:w="709"/>
        <w:gridCol w:w="850"/>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产品/服务名称</w:t>
            </w:r>
          </w:p>
        </w:tc>
        <w:tc>
          <w:tcPr>
            <w:tcW w:w="2551"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规格、详细配置和要求</w:t>
            </w:r>
          </w:p>
        </w:tc>
        <w:tc>
          <w:tcPr>
            <w:tcW w:w="709"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单位</w:t>
            </w:r>
          </w:p>
        </w:tc>
        <w:tc>
          <w:tcPr>
            <w:tcW w:w="850"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数量</w:t>
            </w:r>
          </w:p>
        </w:tc>
        <w:tc>
          <w:tcPr>
            <w:tcW w:w="1418"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价格（含税）</w:t>
            </w:r>
          </w:p>
        </w:tc>
        <w:tc>
          <w:tcPr>
            <w:tcW w:w="1326" w:type="dxa"/>
            <w:vAlign w:val="center"/>
          </w:tcPr>
          <w:p>
            <w:pPr>
              <w:widowControl/>
              <w:spacing w:line="360" w:lineRule="auto"/>
              <w:jc w:val="center"/>
              <w:rPr>
                <w:rFonts w:ascii="华文细黑" w:hAnsi="华文细黑" w:eastAsia="华文细黑" w:cs="宋体"/>
                <w:b/>
                <w:bCs/>
                <w:kern w:val="0"/>
                <w:szCs w:val="21"/>
              </w:rPr>
            </w:pPr>
            <w:r>
              <w:rPr>
                <w:rFonts w:hint="eastAsia" w:ascii="华文细黑" w:hAnsi="华文细黑" w:eastAsia="华文细黑" w:cs="宋体"/>
                <w:b/>
                <w:bCs/>
                <w:kern w:val="0"/>
                <w:szCs w:val="21"/>
              </w:rPr>
              <w:t>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line="360" w:lineRule="auto"/>
              <w:rPr>
                <w:b/>
                <w:bCs/>
                <w:szCs w:val="18"/>
              </w:rPr>
            </w:pPr>
          </w:p>
        </w:tc>
        <w:tc>
          <w:tcPr>
            <w:tcW w:w="2551" w:type="dxa"/>
          </w:tcPr>
          <w:p>
            <w:pPr>
              <w:spacing w:line="360" w:lineRule="auto"/>
              <w:rPr>
                <w:b/>
                <w:bCs/>
                <w:szCs w:val="18"/>
              </w:rPr>
            </w:pP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rPr>
                <w:b/>
                <w:bCs/>
                <w:szCs w:val="18"/>
              </w:rPr>
            </w:pPr>
          </w:p>
        </w:tc>
        <w:tc>
          <w:tcPr>
            <w:tcW w:w="2551" w:type="dxa"/>
          </w:tcPr>
          <w:p>
            <w:pPr>
              <w:spacing w:line="360" w:lineRule="auto"/>
              <w:rPr>
                <w:b/>
                <w:bCs/>
                <w:szCs w:val="18"/>
              </w:rPr>
            </w:pP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spacing w:line="360" w:lineRule="auto"/>
              <w:rPr>
                <w:b/>
                <w:bCs/>
                <w:szCs w:val="18"/>
              </w:rPr>
            </w:pPr>
          </w:p>
        </w:tc>
        <w:tc>
          <w:tcPr>
            <w:tcW w:w="2551" w:type="dxa"/>
          </w:tcPr>
          <w:p>
            <w:pPr>
              <w:spacing w:line="360" w:lineRule="auto"/>
              <w:rPr>
                <w:b/>
                <w:bCs/>
                <w:szCs w:val="18"/>
              </w:rPr>
            </w:pP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line="360" w:lineRule="auto"/>
              <w:rPr>
                <w:b/>
                <w:bCs/>
                <w:szCs w:val="18"/>
              </w:rPr>
            </w:pPr>
          </w:p>
        </w:tc>
        <w:tc>
          <w:tcPr>
            <w:tcW w:w="2551" w:type="dxa"/>
          </w:tcPr>
          <w:p>
            <w:pPr>
              <w:spacing w:line="360" w:lineRule="auto"/>
              <w:rPr>
                <w:b/>
                <w:bCs/>
                <w:szCs w:val="18"/>
              </w:rPr>
            </w:pPr>
          </w:p>
        </w:tc>
        <w:tc>
          <w:tcPr>
            <w:tcW w:w="709" w:type="dxa"/>
          </w:tcPr>
          <w:p>
            <w:pPr>
              <w:spacing w:line="360" w:lineRule="auto"/>
              <w:rPr>
                <w:b/>
                <w:bCs/>
                <w:szCs w:val="18"/>
              </w:rPr>
            </w:pPr>
          </w:p>
        </w:tc>
        <w:tc>
          <w:tcPr>
            <w:tcW w:w="850" w:type="dxa"/>
          </w:tcPr>
          <w:p>
            <w:pPr>
              <w:spacing w:line="360" w:lineRule="auto"/>
              <w:rPr>
                <w:b/>
                <w:bCs/>
                <w:szCs w:val="18"/>
              </w:rPr>
            </w:pPr>
          </w:p>
        </w:tc>
        <w:tc>
          <w:tcPr>
            <w:tcW w:w="1418" w:type="dxa"/>
          </w:tcPr>
          <w:p>
            <w:pPr>
              <w:spacing w:line="360" w:lineRule="auto"/>
              <w:rPr>
                <w:b/>
                <w:bCs/>
                <w:szCs w:val="18"/>
              </w:rPr>
            </w:pPr>
          </w:p>
        </w:tc>
        <w:tc>
          <w:tcPr>
            <w:tcW w:w="1326" w:type="dxa"/>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bottom"/>
          </w:tcPr>
          <w:p>
            <w:pPr>
              <w:widowControl/>
              <w:jc w:val="center"/>
              <w:rPr>
                <w:rFonts w:ascii="华文细黑" w:hAnsi="华文细黑" w:eastAsia="华文细黑" w:cs="宋体"/>
                <w:kern w:val="0"/>
              </w:rPr>
            </w:pPr>
            <w:r>
              <w:rPr>
                <w:rFonts w:hint="eastAsia" w:ascii="华文细黑" w:hAnsi="华文细黑" w:eastAsia="华文细黑" w:cs="宋体"/>
                <w:kern w:val="0"/>
              </w:rPr>
              <w:t>免费提供的</w:t>
            </w:r>
          </w:p>
          <w:p>
            <w:pPr>
              <w:widowControl/>
              <w:jc w:val="center"/>
              <w:rPr>
                <w:rFonts w:ascii="华文细黑" w:hAnsi="华文细黑" w:eastAsia="华文细黑" w:cs="宋体"/>
                <w:kern w:val="0"/>
                <w:szCs w:val="21"/>
              </w:rPr>
            </w:pPr>
            <w:r>
              <w:rPr>
                <w:rFonts w:hint="eastAsia" w:ascii="华文细黑" w:hAnsi="华文细黑" w:eastAsia="华文细黑" w:cs="宋体"/>
                <w:kern w:val="0"/>
              </w:rPr>
              <w:t>其他服务</w:t>
            </w:r>
          </w:p>
        </w:tc>
        <w:tc>
          <w:tcPr>
            <w:tcW w:w="6854" w:type="dxa"/>
            <w:gridSpan w:val="5"/>
          </w:tcPr>
          <w:p>
            <w:pPr>
              <w:spacing w:line="360" w:lineRule="auto"/>
              <w:rPr>
                <w:b/>
                <w:bCs/>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rPr>
                <w:rFonts w:ascii="华文细黑" w:hAnsi="华文细黑" w:eastAsia="华文细黑" w:cs="宋体"/>
                <w:b/>
                <w:bCs/>
                <w:kern w:val="0"/>
              </w:rPr>
            </w:pPr>
            <w:r>
              <w:rPr>
                <w:rFonts w:hint="eastAsia" w:ascii="华文细黑" w:hAnsi="华文细黑" w:eastAsia="华文细黑" w:cs="宋体"/>
                <w:b/>
                <w:bCs/>
                <w:kern w:val="0"/>
              </w:rPr>
              <w:t>项目总报价</w:t>
            </w:r>
          </w:p>
          <w:p>
            <w:pPr>
              <w:rPr>
                <w:bCs/>
                <w:szCs w:val="18"/>
              </w:rPr>
            </w:pPr>
            <w:r>
              <w:rPr>
                <w:rFonts w:hint="eastAsia" w:ascii="华文细黑" w:hAnsi="华文细黑" w:eastAsia="华文细黑" w:cs="宋体"/>
                <w:bCs/>
                <w:kern w:val="0"/>
              </w:rPr>
              <w:t>(</w:t>
            </w:r>
            <w:r>
              <w:rPr>
                <w:rFonts w:hint="eastAsia" w:ascii="华文细黑" w:hAnsi="华文细黑" w:eastAsia="华文细黑" w:cs="宋体"/>
                <w:kern w:val="0"/>
              </w:rPr>
              <w:t>含本招标项目所有产品、设备、服务的价款)</w:t>
            </w:r>
          </w:p>
        </w:tc>
        <w:tc>
          <w:tcPr>
            <w:tcW w:w="6854" w:type="dxa"/>
            <w:gridSpan w:val="5"/>
            <w:vAlign w:val="bottom"/>
          </w:tcPr>
          <w:p>
            <w:pPr>
              <w:widowControl/>
              <w:spacing w:line="360" w:lineRule="auto"/>
              <w:rPr>
                <w:rFonts w:ascii="华文细黑" w:hAnsi="华文细黑" w:eastAsia="华文细黑" w:cs="宋体"/>
                <w:b/>
                <w:bCs/>
                <w:kern w:val="0"/>
              </w:rPr>
            </w:pPr>
            <w:r>
              <w:rPr>
                <w:rFonts w:hint="eastAsia" w:ascii="华文细黑" w:hAnsi="华文细黑" w:eastAsia="华文细黑" w:cs="宋体"/>
                <w:b/>
                <w:bCs/>
                <w:kern w:val="0"/>
              </w:rPr>
              <w:t>大写：人民币</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（小写￥</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 xml:space="preserve"> ）</w:t>
            </w:r>
          </w:p>
        </w:tc>
      </w:tr>
    </w:tbl>
    <w:p>
      <w:pPr>
        <w:spacing w:line="360" w:lineRule="auto"/>
        <w:rPr>
          <w:b/>
          <w:bCs/>
          <w:szCs w:val="18"/>
        </w:rPr>
      </w:pPr>
    </w:p>
    <w:p>
      <w:pPr>
        <w:spacing w:line="360" w:lineRule="auto"/>
        <w:rPr>
          <w:b/>
          <w:bCs/>
          <w:szCs w:val="18"/>
        </w:rPr>
      </w:pPr>
      <w:r>
        <w:rPr>
          <w:rFonts w:hint="eastAsia"/>
          <w:b/>
          <w:bCs/>
          <w:szCs w:val="18"/>
        </w:rPr>
        <w:t>除上述列明费用外，无其他任何再需要支出费用。</w:t>
      </w:r>
    </w:p>
    <w:p>
      <w:pPr>
        <w:spacing w:line="360" w:lineRule="auto"/>
        <w:rPr>
          <w:b/>
          <w:bCs/>
          <w:szCs w:val="18"/>
        </w:rPr>
      </w:pPr>
    </w:p>
    <w:p>
      <w:pPr>
        <w:spacing w:line="360" w:lineRule="auto"/>
        <w:rPr>
          <w:b/>
          <w:bCs/>
          <w:szCs w:val="18"/>
        </w:rPr>
      </w:pPr>
      <w:r>
        <w:rPr>
          <w:rFonts w:hint="eastAsia"/>
          <w:b/>
          <w:bCs/>
          <w:szCs w:val="18"/>
        </w:rPr>
        <w:t>本项目的付款方式为：</w:t>
      </w:r>
    </w:p>
    <w:p>
      <w:pPr>
        <w:ind w:firstLine="420" w:firstLineChars="200"/>
        <w:jc w:val="left"/>
        <w:rPr>
          <w:rFonts w:asciiTheme="minorEastAsia" w:hAnsiTheme="minorEastAsia"/>
          <w:color w:val="FF0000"/>
        </w:rPr>
      </w:pPr>
      <w:r>
        <w:rPr>
          <w:rFonts w:hint="eastAsia" w:asciiTheme="minorEastAsia" w:hAnsiTheme="minorEastAsia"/>
          <w:color w:val="FF0000"/>
        </w:rPr>
        <w:t>1）本项目采购合同签订后，支付总价款的30%，于收到相应金额的增值税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ind w:firstLine="420" w:firstLineChars="200"/>
        <w:jc w:val="left"/>
        <w:rPr>
          <w:rFonts w:asciiTheme="minorEastAsia" w:hAnsiTheme="minorEastAsia"/>
          <w:color w:val="FF0000"/>
        </w:rPr>
      </w:pPr>
      <w:r>
        <w:rPr>
          <w:rFonts w:hint="eastAsia" w:asciiTheme="minorEastAsia" w:hAnsiTheme="minorEastAsia"/>
          <w:color w:val="FF0000"/>
        </w:rPr>
        <w:t>2）试运行三个月内进行验收，验收合格后，支付总价款的60%，于收到相应金额的增值税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ind w:firstLine="420" w:firstLineChars="200"/>
        <w:jc w:val="left"/>
        <w:rPr>
          <w:rFonts w:asciiTheme="minorEastAsia" w:hAnsiTheme="minorEastAsia"/>
          <w:color w:val="FF0000"/>
          <w:kern w:val="0"/>
        </w:rPr>
      </w:pPr>
      <w:r>
        <w:rPr>
          <w:rFonts w:hint="eastAsia" w:asciiTheme="minorEastAsia" w:hAnsiTheme="minorEastAsia"/>
          <w:color w:val="FF0000"/>
        </w:rPr>
        <w:t>3）维保服务期到期后，支付采购合同总价款的10 %，于收到相应金额的增值税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spacing w:line="360" w:lineRule="auto"/>
        <w:rPr>
          <w:b/>
          <w:bCs/>
          <w:szCs w:val="18"/>
        </w:rPr>
      </w:pPr>
    </w:p>
    <w:p>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pPr>
        <w:spacing w:line="360" w:lineRule="auto"/>
        <w:ind w:firstLine="4200" w:firstLineChars="2000"/>
        <w:rPr>
          <w:rFonts w:ascii="宋体" w:hAnsi="宋体"/>
          <w:u w:val="single"/>
        </w:rPr>
      </w:pPr>
      <w:r>
        <w:rPr>
          <w:rFonts w:ascii="宋体" w:hAnsi="宋体"/>
          <w:u w:val="single"/>
        </w:rPr>
        <w:t xml:space="preserve">     年   月 </w:t>
      </w:r>
      <w:r>
        <w:rPr>
          <w:rFonts w:hint="eastAsia" w:ascii="宋体" w:hAnsi="宋体"/>
          <w:u w:val="single"/>
        </w:rPr>
        <w:t xml:space="preserve">  </w:t>
      </w:r>
      <w:r>
        <w:rPr>
          <w:rFonts w:ascii="宋体" w:hAnsi="宋体"/>
          <w:u w:val="single"/>
        </w:rPr>
        <w:t xml:space="preserve"> 日</w:t>
      </w:r>
    </w:p>
    <w:p>
      <w:pPr>
        <w:pStyle w:val="26"/>
        <w:spacing w:before="0" w:beforeAutospacing="0" w:after="0" w:afterAutospacing="0" w:line="360" w:lineRule="auto"/>
        <w:rPr>
          <w:rFonts w:ascii="楷体_GB2312" w:eastAsia="楷体_GB2312"/>
          <w:sz w:val="21"/>
          <w:szCs w:val="18"/>
        </w:rPr>
      </w:pPr>
    </w:p>
    <w:p>
      <w:pPr>
        <w:pStyle w:val="4"/>
        <w:spacing w:line="360" w:lineRule="auto"/>
      </w:pPr>
      <w:bookmarkStart w:id="28" w:name="_Toc26351164"/>
      <w:bookmarkStart w:id="29" w:name="_Toc535921097"/>
      <w:r>
        <w:t>3</w:t>
      </w:r>
      <w:r>
        <w:rPr>
          <w:rFonts w:hint="eastAsia"/>
        </w:rPr>
        <w:t>、投标人资格声明（格式）</w:t>
      </w:r>
      <w:bookmarkEnd w:id="28"/>
      <w:bookmarkEnd w:id="29"/>
    </w:p>
    <w:p>
      <w:pPr>
        <w:pStyle w:val="26"/>
        <w:spacing w:before="0" w:beforeAutospacing="0" w:after="0" w:afterAutospacing="0" w:line="360" w:lineRule="auto"/>
        <w:jc w:val="center"/>
        <w:rPr>
          <w:b/>
          <w:bCs/>
          <w:sz w:val="21"/>
          <w:szCs w:val="18"/>
        </w:rPr>
      </w:pPr>
    </w:p>
    <w:p>
      <w:pPr>
        <w:pStyle w:val="26"/>
        <w:spacing w:before="0" w:beforeAutospacing="0" w:after="0" w:afterAutospacing="0" w:line="360" w:lineRule="auto"/>
        <w:jc w:val="center"/>
        <w:rPr>
          <w:sz w:val="21"/>
          <w:szCs w:val="18"/>
        </w:rPr>
      </w:pPr>
      <w:r>
        <w:rPr>
          <w:rFonts w:hint="eastAsia"/>
          <w:b/>
          <w:bCs/>
          <w:sz w:val="21"/>
          <w:szCs w:val="18"/>
        </w:rPr>
        <w:t>投标人资格声明</w:t>
      </w:r>
    </w:p>
    <w:p>
      <w:pPr>
        <w:pStyle w:val="26"/>
        <w:spacing w:before="0" w:beforeAutospacing="0" w:after="0" w:afterAutospacing="0" w:line="360" w:lineRule="auto"/>
        <w:ind w:firstLine="420" w:firstLineChars="200"/>
        <w:rPr>
          <w:sz w:val="21"/>
          <w:szCs w:val="18"/>
        </w:rPr>
      </w:pPr>
      <w:r>
        <w:rPr>
          <w:sz w:val="21"/>
          <w:szCs w:val="18"/>
        </w:rPr>
        <w:t>1</w:t>
      </w:r>
      <w:r>
        <w:rPr>
          <w:rFonts w:hint="eastAsia"/>
          <w:sz w:val="21"/>
          <w:szCs w:val="18"/>
        </w:rPr>
        <w:t>、名称及概况</w:t>
      </w:r>
      <w:r>
        <w:rPr>
          <w:sz w:val="21"/>
          <w:szCs w:val="18"/>
        </w:rPr>
        <w:br w:type="textWrapping"/>
      </w:r>
      <w:r>
        <w:rPr>
          <w:rFonts w:hint="eastAsia"/>
          <w:sz w:val="21"/>
          <w:szCs w:val="18"/>
        </w:rPr>
        <w:t>　　（1）公司名称：</w:t>
      </w:r>
      <w:r>
        <w:rPr>
          <w:sz w:val="21"/>
          <w:szCs w:val="18"/>
        </w:rPr>
        <w:t xml:space="preserve">   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（2）公司注册地址：__________________________________________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（3）注册日期：____________________________</w:t>
      </w:r>
      <w:r>
        <w:rPr>
          <w:rFonts w:hint="eastAsia"/>
          <w:sz w:val="21"/>
          <w:szCs w:val="18"/>
          <w:u w:val="single"/>
        </w:rPr>
        <w:t>__          _</w:t>
      </w:r>
      <w:r>
        <w:rPr>
          <w:rFonts w:hint="eastAsia"/>
          <w:sz w:val="21"/>
          <w:szCs w:val="18"/>
        </w:rPr>
        <w:t>_____</w:t>
      </w:r>
    </w:p>
    <w:p>
      <w:pPr>
        <w:pStyle w:val="26"/>
        <w:spacing w:before="0" w:beforeAutospacing="0" w:after="0" w:afterAutospacing="0" w:line="360" w:lineRule="auto"/>
        <w:ind w:firstLine="420" w:firstLineChars="200"/>
        <w:rPr>
          <w:sz w:val="21"/>
          <w:szCs w:val="18"/>
        </w:rPr>
      </w:pPr>
      <w:r>
        <w:rPr>
          <w:rFonts w:hint="eastAsia"/>
          <w:sz w:val="21"/>
          <w:szCs w:val="18"/>
        </w:rPr>
        <w:t>（4）实收资本：__________________________</w:t>
      </w:r>
      <w:r>
        <w:rPr>
          <w:rFonts w:hint="eastAsia"/>
          <w:sz w:val="21"/>
          <w:szCs w:val="18"/>
          <w:u w:val="single"/>
        </w:rPr>
        <w:t xml:space="preserve">               ___</w:t>
      </w:r>
      <w:r>
        <w:rPr>
          <w:rFonts w:hint="eastAsia"/>
          <w:sz w:val="21"/>
          <w:szCs w:val="18"/>
        </w:rPr>
        <w:t>__</w:t>
      </w:r>
    </w:p>
    <w:p>
      <w:pPr>
        <w:pStyle w:val="26"/>
        <w:spacing w:before="0" w:beforeAutospacing="0" w:after="0" w:afterAutospacing="0" w:line="360" w:lineRule="auto"/>
        <w:ind w:firstLine="420" w:firstLineChars="200"/>
        <w:rPr>
          <w:sz w:val="21"/>
          <w:szCs w:val="18"/>
        </w:rPr>
      </w:pPr>
      <w:r>
        <w:rPr>
          <w:rFonts w:hint="eastAsia"/>
          <w:sz w:val="21"/>
          <w:szCs w:val="18"/>
        </w:rPr>
        <w:t>（5）主要负责人姓名：______________</w:t>
      </w:r>
      <w:r>
        <w:rPr>
          <w:rFonts w:hint="eastAsia"/>
          <w:sz w:val="21"/>
          <w:szCs w:val="18"/>
          <w:u w:val="single"/>
        </w:rPr>
        <w:t>_____             __  _</w:t>
      </w:r>
      <w:r>
        <w:rPr>
          <w:rFonts w:hint="eastAsia"/>
          <w:sz w:val="21"/>
          <w:szCs w:val="18"/>
        </w:rPr>
        <w:t>___</w:t>
      </w:r>
    </w:p>
    <w:p>
      <w:pPr>
        <w:pStyle w:val="26"/>
        <w:spacing w:before="0" w:beforeAutospacing="0" w:after="0" w:afterAutospacing="0" w:line="360" w:lineRule="auto"/>
        <w:ind w:left="630" w:leftChars="200" w:hanging="210" w:hangingChars="100"/>
        <w:rPr>
          <w:sz w:val="21"/>
          <w:szCs w:val="18"/>
        </w:rPr>
      </w:pPr>
      <w:r>
        <w:rPr>
          <w:sz w:val="21"/>
          <w:szCs w:val="18"/>
        </w:rPr>
        <w:t>2</w:t>
      </w:r>
      <w:r>
        <w:rPr>
          <w:rFonts w:hint="eastAsia"/>
          <w:sz w:val="21"/>
          <w:szCs w:val="18"/>
        </w:rPr>
        <w:t>、 产品/服务设施：</w:t>
      </w:r>
    </w:p>
    <w:p>
      <w:pPr>
        <w:pStyle w:val="26"/>
        <w:spacing w:before="0" w:beforeAutospacing="0" w:after="0" w:afterAutospacing="0" w:line="360" w:lineRule="auto"/>
        <w:ind w:left="630" w:leftChars="200" w:hanging="210" w:hangingChars="10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pPr>
        <w:pStyle w:val="26"/>
        <w:spacing w:before="0" w:beforeAutospacing="0" w:after="0" w:afterAutospacing="0" w:line="360" w:lineRule="auto"/>
        <w:ind w:left="630" w:leftChars="200" w:hanging="210" w:hangingChars="100"/>
        <w:rPr>
          <w:sz w:val="21"/>
          <w:szCs w:val="18"/>
        </w:rPr>
      </w:pPr>
      <w:r>
        <w:rPr>
          <w:sz w:val="21"/>
          <w:szCs w:val="18"/>
        </w:rPr>
        <w:t>3</w:t>
      </w:r>
      <w:r>
        <w:rPr>
          <w:rFonts w:hint="eastAsia"/>
          <w:sz w:val="21"/>
          <w:szCs w:val="18"/>
        </w:rPr>
        <w:t xml:space="preserve">、产品/服务经验： </w:t>
      </w:r>
    </w:p>
    <w:p>
      <w:pPr>
        <w:pStyle w:val="26"/>
        <w:spacing w:before="0" w:beforeAutospacing="0" w:after="0" w:afterAutospacing="0" w:line="360" w:lineRule="auto"/>
        <w:ind w:left="424" w:leftChars="202" w:firstLine="105" w:firstLineChars="50"/>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pPr>
        <w:pStyle w:val="26"/>
        <w:spacing w:before="0" w:beforeAutospacing="0" w:after="0" w:afterAutospacing="0" w:line="360" w:lineRule="auto"/>
        <w:ind w:left="424" w:leftChars="200" w:hanging="4" w:hangingChars="2"/>
        <w:rPr>
          <w:sz w:val="21"/>
          <w:szCs w:val="18"/>
          <w:u w:val="single"/>
        </w:rPr>
      </w:pPr>
      <w:r>
        <w:rPr>
          <w:sz w:val="21"/>
          <w:szCs w:val="18"/>
        </w:rPr>
        <w:t>4</w:t>
      </w:r>
      <w:r>
        <w:rPr>
          <w:rFonts w:hint="eastAsia"/>
          <w:sz w:val="21"/>
          <w:szCs w:val="18"/>
        </w:rPr>
        <w:t>、近三年主要客户的名称： _______________________________________________</w:t>
      </w:r>
      <w:r>
        <w:rPr>
          <w:rFonts w:hint="eastAsia"/>
          <w:sz w:val="21"/>
          <w:szCs w:val="18"/>
          <w:u w:val="single"/>
        </w:rPr>
        <w:t xml:space="preserve">________   _______ </w:t>
      </w:r>
    </w:p>
    <w:p>
      <w:pPr>
        <w:pStyle w:val="26"/>
        <w:spacing w:before="0" w:beforeAutospacing="0" w:after="0" w:afterAutospacing="0" w:line="360" w:lineRule="auto"/>
        <w:ind w:left="424" w:leftChars="200" w:hanging="4" w:hangingChars="2"/>
        <w:rPr>
          <w:sz w:val="21"/>
          <w:szCs w:val="18"/>
        </w:rPr>
      </w:pPr>
      <w:r>
        <w:rPr>
          <w:sz w:val="21"/>
          <w:szCs w:val="18"/>
        </w:rPr>
        <w:t>5</w:t>
      </w:r>
      <w:r>
        <w:rPr>
          <w:rFonts w:hint="eastAsia"/>
          <w:sz w:val="21"/>
          <w:szCs w:val="18"/>
        </w:rPr>
        <w:t>、主要项目：</w:t>
      </w:r>
    </w:p>
    <w:p>
      <w:pPr>
        <w:pStyle w:val="26"/>
        <w:spacing w:before="0" w:beforeAutospacing="0" w:after="0" w:afterAutospacing="0" w:line="360" w:lineRule="auto"/>
        <w:ind w:left="424" w:leftChars="200" w:hanging="4" w:hangingChars="2"/>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pPr>
        <w:pStyle w:val="26"/>
        <w:spacing w:before="0" w:beforeAutospacing="0" w:after="0" w:afterAutospacing="0" w:line="360" w:lineRule="auto"/>
        <w:ind w:left="424" w:leftChars="200" w:hanging="4" w:hangingChars="2"/>
        <w:rPr>
          <w:sz w:val="21"/>
          <w:szCs w:val="18"/>
        </w:rPr>
      </w:pPr>
      <w:r>
        <w:rPr>
          <w:rFonts w:hint="eastAsia"/>
          <w:sz w:val="21"/>
          <w:szCs w:val="18"/>
        </w:rPr>
        <w:t>6、其它情况：</w:t>
      </w:r>
    </w:p>
    <w:p>
      <w:pPr>
        <w:pStyle w:val="26"/>
        <w:spacing w:before="0" w:beforeAutospacing="0" w:after="0" w:afterAutospacing="0" w:line="360" w:lineRule="auto"/>
        <w:ind w:firstLine="420" w:firstLineChars="20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ype="textWrapping"/>
      </w:r>
      <w:r>
        <w:rPr>
          <w:sz w:val="21"/>
          <w:szCs w:val="18"/>
        </w:rPr>
        <w:t xml:space="preserve">  </w:t>
      </w:r>
      <w:r>
        <w:rPr>
          <w:rFonts w:hint="eastAsia"/>
          <w:sz w:val="21"/>
          <w:szCs w:val="18"/>
        </w:rPr>
        <w:t xml:space="preserve">  公司名称：_________________________________（盖章）</w:t>
      </w:r>
    </w:p>
    <w:p>
      <w:pPr>
        <w:pStyle w:val="26"/>
        <w:spacing w:before="0" w:beforeAutospacing="0" w:after="0" w:afterAutospacing="0" w:line="360" w:lineRule="auto"/>
        <w:ind w:firstLine="420" w:firstLineChars="200"/>
        <w:rPr>
          <w:sz w:val="21"/>
          <w:szCs w:val="18"/>
        </w:rPr>
      </w:pPr>
      <w:r>
        <w:rPr>
          <w:rFonts w:hint="eastAsia"/>
          <w:sz w:val="21"/>
          <w:szCs w:val="18"/>
        </w:rPr>
        <w:t>电话：_______________________</w:t>
      </w:r>
      <w:r>
        <w:rPr>
          <w:rFonts w:hint="eastAsia"/>
          <w:sz w:val="21"/>
          <w:szCs w:val="18"/>
          <w:u w:val="single"/>
        </w:rPr>
        <w:t xml:space="preserve">_   </w:t>
      </w:r>
      <w:r>
        <w:rPr>
          <w:rFonts w:hint="eastAsia"/>
          <w:sz w:val="21"/>
          <w:szCs w:val="18"/>
        </w:rPr>
        <w:t>___________</w:t>
      </w:r>
    </w:p>
    <w:p>
      <w:pPr>
        <w:pStyle w:val="26"/>
        <w:spacing w:before="0" w:beforeAutospacing="0" w:after="0" w:afterAutospacing="0" w:line="360" w:lineRule="auto"/>
        <w:ind w:firstLine="420" w:firstLineChars="200"/>
        <w:rPr>
          <w:sz w:val="21"/>
          <w:szCs w:val="18"/>
        </w:rPr>
      </w:pPr>
      <w:r>
        <w:rPr>
          <w:rFonts w:hint="eastAsia"/>
          <w:sz w:val="21"/>
          <w:szCs w:val="18"/>
        </w:rPr>
        <w:t>日期：_____________年___________月_________日</w:t>
      </w:r>
    </w:p>
    <w:p>
      <w:pPr>
        <w:pStyle w:val="26"/>
        <w:spacing w:before="0" w:beforeAutospacing="0" w:after="0" w:afterAutospacing="0" w:line="360" w:lineRule="auto"/>
        <w:rPr>
          <w:b/>
          <w:bCs/>
          <w:sz w:val="21"/>
          <w:szCs w:val="18"/>
        </w:rPr>
      </w:pPr>
    </w:p>
    <w:p>
      <w:pPr>
        <w:pStyle w:val="4"/>
        <w:spacing w:line="360" w:lineRule="auto"/>
      </w:pPr>
      <w:bookmarkStart w:id="30" w:name="_Toc535921098"/>
      <w:bookmarkStart w:id="31" w:name="_Toc26351165"/>
      <w:r>
        <w:t>4</w:t>
      </w:r>
      <w:r>
        <w:rPr>
          <w:rFonts w:hint="eastAsia"/>
        </w:rPr>
        <w:t>、法定代表人授权书（格式）</w:t>
      </w:r>
      <w:bookmarkEnd w:id="30"/>
      <w:bookmarkEnd w:id="31"/>
    </w:p>
    <w:p>
      <w:pPr>
        <w:pStyle w:val="26"/>
        <w:spacing w:before="0" w:beforeAutospacing="0" w:after="0" w:afterAutospacing="0" w:line="360" w:lineRule="auto"/>
        <w:jc w:val="center"/>
        <w:rPr>
          <w:sz w:val="21"/>
          <w:szCs w:val="18"/>
        </w:rPr>
      </w:pPr>
      <w:r>
        <w:rPr>
          <w:rFonts w:hint="eastAsia"/>
          <w:b/>
          <w:bCs/>
          <w:sz w:val="21"/>
          <w:szCs w:val="18"/>
        </w:rPr>
        <w:t xml:space="preserve">法定代表人授权书 </w:t>
      </w:r>
    </w:p>
    <w:p>
      <w:pPr>
        <w:pStyle w:val="26"/>
        <w:spacing w:before="0" w:beforeAutospacing="0" w:after="0" w:afterAutospacing="0" w:line="360" w:lineRule="auto"/>
        <w:rPr>
          <w:sz w:val="21"/>
          <w:szCs w:val="18"/>
        </w:rPr>
      </w:pPr>
      <w:r>
        <w:rPr>
          <w:rFonts w:hint="eastAsia"/>
          <w:sz w:val="21"/>
          <w:szCs w:val="18"/>
        </w:rPr>
        <w:t>（招标人）_____________________：</w:t>
      </w:r>
    </w:p>
    <w:p>
      <w:pPr>
        <w:pStyle w:val="26"/>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type="textWrapping"/>
      </w:r>
      <w:r>
        <w:rPr>
          <w:rFonts w:hint="eastAsia"/>
          <w:sz w:val="21"/>
          <w:szCs w:val="18"/>
        </w:rPr>
        <w:t>　　附全权代表情况：</w:t>
      </w:r>
      <w:r>
        <w:rPr>
          <w:sz w:val="21"/>
          <w:szCs w:val="18"/>
        </w:rPr>
        <w:br w:type="textWrapping"/>
      </w:r>
      <w:r>
        <w:rPr>
          <w:rFonts w:hint="eastAsia"/>
          <w:sz w:val="21"/>
          <w:szCs w:val="18"/>
        </w:rPr>
        <w:t>　　姓　　名：_______________　　身份证号：________________________________</w:t>
      </w:r>
      <w:r>
        <w:rPr>
          <w:sz w:val="21"/>
          <w:szCs w:val="18"/>
        </w:rPr>
        <w:br w:type="textWrapping"/>
      </w:r>
      <w:r>
        <w:rPr>
          <w:rFonts w:hint="eastAsia"/>
          <w:sz w:val="21"/>
          <w:szCs w:val="18"/>
        </w:rPr>
        <w:t>　　职　　务：_______________    邮　编：__________________________________</w:t>
      </w:r>
      <w:r>
        <w:rPr>
          <w:sz w:val="21"/>
          <w:szCs w:val="18"/>
        </w:rPr>
        <w:br w:type="textWrapping"/>
      </w:r>
      <w:r>
        <w:rPr>
          <w:rFonts w:hint="eastAsia"/>
          <w:sz w:val="21"/>
          <w:szCs w:val="18"/>
        </w:rPr>
        <w:t>　　通讯地址：______________________________</w:t>
      </w:r>
      <w:r>
        <w:rPr>
          <w:rFonts w:hint="eastAsia"/>
          <w:sz w:val="21"/>
          <w:szCs w:val="18"/>
          <w:u w:val="single"/>
        </w:rPr>
        <w:t>_          __</w:t>
      </w:r>
      <w:r>
        <w:rPr>
          <w:rFonts w:hint="eastAsia"/>
          <w:sz w:val="21"/>
          <w:szCs w:val="18"/>
        </w:rPr>
        <w:t>__________________</w:t>
      </w:r>
      <w:r>
        <w:rPr>
          <w:sz w:val="21"/>
          <w:szCs w:val="18"/>
        </w:rPr>
        <w:br w:type="textWrapping"/>
      </w:r>
      <w:r>
        <w:rPr>
          <w:rFonts w:hint="eastAsia"/>
          <w:sz w:val="21"/>
          <w:szCs w:val="18"/>
        </w:rPr>
        <w:t>　　电　　话：_______________________</w:t>
      </w:r>
    </w:p>
    <w:p>
      <w:pPr>
        <w:pStyle w:val="26"/>
        <w:spacing w:before="0" w:beforeAutospacing="0" w:after="0" w:afterAutospacing="0" w:line="360" w:lineRule="auto"/>
        <w:ind w:firstLine="840" w:firstLineChars="400"/>
        <w:rPr>
          <w:sz w:val="21"/>
          <w:szCs w:val="18"/>
        </w:rPr>
      </w:pPr>
    </w:p>
    <w:p>
      <w:pPr>
        <w:pStyle w:val="26"/>
        <w:spacing w:before="0" w:beforeAutospacing="0" w:after="0" w:afterAutospacing="0" w:line="360" w:lineRule="auto"/>
        <w:ind w:firstLine="840" w:firstLineChars="400"/>
        <w:rPr>
          <w:sz w:val="21"/>
          <w:szCs w:val="18"/>
        </w:rPr>
      </w:pPr>
      <w:r>
        <w:rPr>
          <w:rFonts w:hint="eastAsia"/>
          <w:sz w:val="21"/>
          <w:szCs w:val="18"/>
        </w:rPr>
        <w:t xml:space="preserve">                             投标人（盖章）：</w:t>
      </w:r>
    </w:p>
    <w:p>
      <w:pPr>
        <w:pStyle w:val="26"/>
        <w:spacing w:before="0" w:beforeAutospacing="0" w:after="0" w:afterAutospacing="0" w:line="360" w:lineRule="auto"/>
        <w:ind w:firstLine="630" w:firstLineChars="300"/>
        <w:rPr>
          <w:sz w:val="21"/>
          <w:szCs w:val="18"/>
        </w:rPr>
      </w:pPr>
      <w:r>
        <w:rPr>
          <w:rFonts w:hint="eastAsia"/>
          <w:sz w:val="21"/>
          <w:szCs w:val="18"/>
        </w:rPr>
        <w:t xml:space="preserve">                               法定代表人（签字）：</w:t>
      </w:r>
    </w:p>
    <w:p>
      <w:pPr>
        <w:pStyle w:val="8"/>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pPr>
        <w:pStyle w:val="8"/>
      </w:pPr>
    </w:p>
    <w:p>
      <w:pPr>
        <w:pStyle w:val="4"/>
        <w:spacing w:line="360" w:lineRule="auto"/>
      </w:pPr>
      <w:bookmarkStart w:id="32" w:name="_Toc535921100"/>
      <w:bookmarkStart w:id="33" w:name="_Toc26351167"/>
      <w:r>
        <w:rPr>
          <w:rFonts w:hint="default"/>
        </w:rPr>
        <w:t>5</w:t>
      </w:r>
      <w:r>
        <w:rPr>
          <w:rFonts w:hint="eastAsia"/>
        </w:rPr>
        <w:t>、可承揽业务说明</w:t>
      </w:r>
      <w:bookmarkEnd w:id="32"/>
      <w:bookmarkEnd w:id="33"/>
    </w:p>
    <w:p>
      <w:pPr>
        <w:pStyle w:val="8"/>
      </w:pPr>
      <w:r>
        <w:rPr>
          <w:rFonts w:hint="eastAsia"/>
        </w:rPr>
        <w:t>投标人应按照下表就可承揽业务进行说明，如有偏离应在备注中说明。</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4293"/>
        <w:gridCol w:w="155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jc w:val="center"/>
              <w:rPr>
                <w:rFonts w:ascii="宋体" w:hAnsi="宋体"/>
                <w:bCs/>
                <w:szCs w:val="36"/>
              </w:rPr>
            </w:pPr>
            <w:r>
              <w:rPr>
                <w:rFonts w:hint="eastAsia" w:ascii="宋体" w:hAnsi="宋体"/>
                <w:bCs/>
                <w:szCs w:val="36"/>
              </w:rPr>
              <w:t>业务名称</w:t>
            </w:r>
          </w:p>
        </w:tc>
        <w:tc>
          <w:tcPr>
            <w:tcW w:w="2519" w:type="pct"/>
          </w:tcPr>
          <w:p>
            <w:pPr>
              <w:spacing w:line="360" w:lineRule="auto"/>
              <w:jc w:val="center"/>
              <w:rPr>
                <w:rFonts w:ascii="宋体" w:hAnsi="宋体"/>
                <w:bCs/>
                <w:szCs w:val="36"/>
              </w:rPr>
            </w:pPr>
            <w:r>
              <w:rPr>
                <w:rFonts w:hint="eastAsia" w:ascii="宋体" w:hAnsi="宋体"/>
                <w:bCs/>
                <w:szCs w:val="36"/>
              </w:rPr>
              <w:t>招标人要求</w:t>
            </w:r>
            <w:r>
              <w:rPr>
                <w:rFonts w:ascii="宋体" w:hAnsi="宋体"/>
                <w:bCs/>
                <w:szCs w:val="36"/>
              </w:rPr>
              <w:t>/说明</w:t>
            </w:r>
          </w:p>
        </w:tc>
        <w:tc>
          <w:tcPr>
            <w:tcW w:w="910" w:type="pct"/>
          </w:tcPr>
          <w:p>
            <w:pPr>
              <w:spacing w:line="360" w:lineRule="auto"/>
              <w:jc w:val="center"/>
              <w:rPr>
                <w:rFonts w:ascii="宋体" w:hAnsi="宋体"/>
                <w:bCs/>
                <w:szCs w:val="36"/>
              </w:rPr>
            </w:pPr>
            <w:r>
              <w:rPr>
                <w:rFonts w:hint="eastAsia" w:ascii="宋体" w:hAnsi="宋体"/>
                <w:bCs/>
                <w:szCs w:val="36"/>
              </w:rPr>
              <w:t>能否承接</w:t>
            </w:r>
          </w:p>
        </w:tc>
        <w:tc>
          <w:tcPr>
            <w:tcW w:w="720" w:type="pct"/>
          </w:tcPr>
          <w:p>
            <w:pPr>
              <w:spacing w:line="360" w:lineRule="auto"/>
              <w:jc w:val="center"/>
              <w:rPr>
                <w:rFonts w:ascii="宋体" w:hAnsi="宋体"/>
                <w:bCs/>
                <w:szCs w:val="36"/>
              </w:rPr>
            </w:pPr>
            <w:r>
              <w:rPr>
                <w:rFonts w:hint="eastAsia" w:ascii="宋体" w:hAnsi="宋体"/>
                <w:bCs/>
                <w:szCs w:val="36"/>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r>
              <w:rPr>
                <w:rFonts w:ascii="Tahoma" w:hAnsi="Tahoma" w:eastAsia="Tahoma" w:cs="Tahoma"/>
                <w:b/>
                <w:bCs/>
                <w:color w:val="333333"/>
                <w:sz w:val="21"/>
                <w:szCs w:val="21"/>
              </w:rPr>
              <w:t>门户-</w:t>
            </w:r>
            <w:r>
              <w:rPr>
                <w:rFonts w:ascii="Tahoma" w:hAnsi="Tahoma" w:eastAsia="Tahoma" w:cs="Tahoma"/>
                <w:color w:val="333333"/>
                <w:sz w:val="21"/>
                <w:szCs w:val="21"/>
              </w:rPr>
              <w:t>供应商门户</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订单管理：允许供应商查看、确认和管理订单，包括接受订单、提交发货通知和跟踪订单状态。</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公告：中标通知。</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发票提交和支付跟踪：供应商可以提交发票并跟踪其支付状态和历史。</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合同管理：允许访问和管理与采购商的合同，包括查看合同条款、更新和续签合同。</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绩效评估：供应商可以查看采购商对其绩效的评估，包括交付时间、质量、服务等方面。</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信息更新：供应商可以更新公司信息、联系方式、服务或产品目录等。</w:t>
            </w:r>
          </w:p>
          <w:p>
            <w:pPr>
              <w:spacing w:line="360" w:lineRule="auto"/>
              <w:rPr>
                <w:rFonts w:ascii="宋体" w:hAnsi="宋体"/>
                <w:bCs/>
                <w:szCs w:val="36"/>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r>
              <w:rPr>
                <w:rFonts w:ascii="Tahoma" w:hAnsi="Tahoma" w:eastAsia="Tahoma" w:cs="Tahoma"/>
                <w:b/>
                <w:bCs/>
                <w:color w:val="333333"/>
                <w:sz w:val="21"/>
                <w:szCs w:val="21"/>
              </w:rPr>
              <w:t>门户-</w:t>
            </w:r>
            <w:r>
              <w:rPr>
                <w:rFonts w:ascii="Tahoma" w:hAnsi="Tahoma" w:eastAsia="Tahoma" w:cs="Tahoma"/>
                <w:color w:val="333333"/>
                <w:sz w:val="21"/>
                <w:szCs w:val="21"/>
              </w:rPr>
              <w:t>采购门户</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门户板块：采购计划、采购实施、供应商管理、采购合同、采购执行报表（二期）。</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采购计划：采购计划的上报，汇总，更新。</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采购实施：线上询比价、线上竞争性谈判、线上招投标。</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采购需求发布：对集采项目，订单管理。</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订单管理和跟踪：创建订单，跟踪订单执行情况，包括交货和质量控制。</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供应商管理：供应商准入，维护供应商的详细信息，包括联系信息、服务和产品。供应商评价、供应商退出。</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采购合同：采购合同归档，二期与合同管理系统对接</w:t>
            </w:r>
          </w:p>
          <w:p>
            <w:pPr>
              <w:spacing w:line="360" w:lineRule="auto"/>
              <w:rPr>
                <w:rFonts w:ascii="宋体" w:hAnsi="宋体"/>
                <w:bCs/>
                <w:szCs w:val="36"/>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r>
              <w:rPr>
                <w:rFonts w:ascii="Tahoma" w:hAnsi="Tahoma" w:eastAsia="Tahoma" w:cs="Tahoma"/>
                <w:b/>
                <w:bCs/>
                <w:color w:val="333333"/>
                <w:sz w:val="21"/>
                <w:szCs w:val="21"/>
              </w:rPr>
              <w:t>基础管理-</w:t>
            </w:r>
            <w:r>
              <w:rPr>
                <w:rFonts w:ascii="Tahoma" w:hAnsi="Tahoma" w:eastAsia="Tahoma" w:cs="Tahoma"/>
                <w:color w:val="333333"/>
                <w:sz w:val="21"/>
                <w:szCs w:val="21"/>
              </w:rPr>
              <w:t>专家库管理</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专家填报、专家管理、评分评分模版、专家查询、</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采购管理岗选择评标专家人选</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专家选择后，项目材料、评标邀请推送飞书，被选择的评标人接收后，推送评分表并占用飞书日历。</w:t>
            </w:r>
          </w:p>
          <w:p>
            <w:pPr>
              <w:spacing w:line="360" w:lineRule="auto"/>
              <w:rPr>
                <w:rFonts w:ascii="宋体" w:hAnsi="宋体"/>
                <w:bCs/>
                <w:szCs w:val="36"/>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bookmarkStart w:id="34" w:name="_Toc26351168"/>
            <w:bookmarkStart w:id="35" w:name="_Toc535921101"/>
            <w:r>
              <w:rPr>
                <w:rFonts w:ascii="Tahoma" w:hAnsi="Tahoma" w:eastAsia="Tahoma" w:cs="Tahoma"/>
                <w:b/>
                <w:bCs/>
                <w:color w:val="333333"/>
                <w:sz w:val="21"/>
                <w:szCs w:val="21"/>
              </w:rPr>
              <w:t>基础管理-</w:t>
            </w:r>
            <w:r>
              <w:rPr>
                <w:rFonts w:ascii="Tahoma" w:hAnsi="Tahoma" w:eastAsia="Tahoma" w:cs="Tahoma"/>
                <w:color w:val="333333"/>
                <w:sz w:val="21"/>
                <w:szCs w:val="21"/>
              </w:rPr>
              <w:t>品类管理</w:t>
            </w:r>
          </w:p>
        </w:tc>
        <w:tc>
          <w:tcPr>
            <w:tcW w:w="2519" w:type="pct"/>
          </w:tcPr>
          <w:p>
            <w:pPr>
              <w:spacing w:line="360" w:lineRule="auto"/>
              <w:rPr>
                <w:rFonts w:ascii="宋体" w:hAnsi="宋体"/>
                <w:bCs/>
                <w:szCs w:val="36"/>
              </w:rPr>
            </w:pPr>
            <w:r>
              <w:rPr>
                <w:rFonts w:ascii="Tahoma" w:hAnsi="Tahoma" w:eastAsia="Tahoma" w:cs="Tahoma"/>
                <w:color w:val="333333"/>
                <w:sz w:val="21"/>
                <w:szCs w:val="21"/>
              </w:rPr>
              <w:t>采购目录维护、采购目录审核、采购目录查询</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r>
              <w:rPr>
                <w:rFonts w:ascii="Tahoma" w:hAnsi="Tahoma" w:eastAsia="Tahoma" w:cs="Tahoma"/>
                <w:b/>
                <w:bCs/>
                <w:color w:val="333333"/>
                <w:sz w:val="21"/>
                <w:szCs w:val="21"/>
              </w:rPr>
              <w:t>基础管理-</w:t>
            </w:r>
            <w:r>
              <w:rPr>
                <w:rFonts w:ascii="Tahoma" w:hAnsi="Tahoma" w:eastAsia="Tahoma" w:cs="Tahoma"/>
                <w:color w:val="333333"/>
                <w:sz w:val="21"/>
                <w:szCs w:val="21"/>
              </w:rPr>
              <w:t>项目管理</w:t>
            </w:r>
          </w:p>
        </w:tc>
        <w:tc>
          <w:tcPr>
            <w:tcW w:w="2519" w:type="pct"/>
          </w:tcPr>
          <w:p>
            <w:pPr>
              <w:spacing w:line="360" w:lineRule="auto"/>
              <w:rPr>
                <w:rFonts w:ascii="宋体" w:hAnsi="宋体"/>
                <w:bCs/>
                <w:szCs w:val="36"/>
              </w:rPr>
            </w:pPr>
            <w:r>
              <w:rPr>
                <w:rFonts w:ascii="Tahoma" w:hAnsi="Tahoma" w:eastAsia="Tahoma" w:cs="Tahoma"/>
                <w:color w:val="333333"/>
                <w:sz w:val="21"/>
                <w:szCs w:val="21"/>
              </w:rPr>
              <w:t>项目进度和各环节显示</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宋体" w:hAnsi="宋体"/>
                <w:bCs/>
                <w:szCs w:val="36"/>
              </w:rPr>
            </w:pPr>
            <w:r>
              <w:rPr>
                <w:rFonts w:ascii="Tahoma" w:hAnsi="Tahoma" w:eastAsia="Tahoma" w:cs="Tahoma"/>
                <w:b/>
                <w:bCs/>
                <w:color w:val="333333"/>
                <w:sz w:val="21"/>
                <w:szCs w:val="21"/>
              </w:rPr>
              <w:t>基础管理-</w:t>
            </w:r>
            <w:r>
              <w:rPr>
                <w:rFonts w:ascii="Tahoma" w:hAnsi="Tahoma" w:eastAsia="Tahoma" w:cs="Tahoma"/>
                <w:color w:val="333333"/>
                <w:sz w:val="21"/>
                <w:szCs w:val="21"/>
              </w:rPr>
              <w:t>模版管理</w:t>
            </w:r>
          </w:p>
        </w:tc>
        <w:tc>
          <w:tcPr>
            <w:tcW w:w="2519" w:type="pct"/>
          </w:tcPr>
          <w:p>
            <w:pPr>
              <w:spacing w:line="360" w:lineRule="auto"/>
              <w:rPr>
                <w:rFonts w:ascii="宋体" w:hAnsi="宋体"/>
                <w:bCs/>
                <w:szCs w:val="36"/>
              </w:rPr>
            </w:pPr>
            <w:r>
              <w:rPr>
                <w:rFonts w:ascii="Tahoma" w:hAnsi="Tahoma" w:eastAsia="Tahoma" w:cs="Tahoma"/>
                <w:color w:val="333333"/>
                <w:sz w:val="21"/>
                <w:szCs w:val="21"/>
              </w:rPr>
              <w:t>招标公告模板、标书模版、评分表模版等</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采购计划管理-</w:t>
            </w:r>
            <w:r>
              <w:rPr>
                <w:rFonts w:ascii="Tahoma" w:hAnsi="Tahoma" w:eastAsia="Tahoma" w:cs="Tahoma"/>
                <w:color w:val="333333"/>
                <w:sz w:val="21"/>
                <w:szCs w:val="21"/>
              </w:rPr>
              <w:t>年度采购计划</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用于规划和管理企业一整年的采购活动，包括预算分配、目标设置、关键物料需求计划等。</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采购计划的填报，26家分公司及所辖机构汇总到总公司采购。</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采购计划填写表（模版）：预算科目、采购大类、采购小类等</w:t>
            </w:r>
          </w:p>
          <w:p>
            <w:pPr>
              <w:spacing w:line="360" w:lineRule="auto"/>
              <w:rPr>
                <w:rFonts w:ascii="Tahoma" w:hAnsi="Tahoma" w:eastAsia="Tahoma" w:cs="Tahoma"/>
                <w:color w:val="333333"/>
                <w:sz w:val="21"/>
                <w:szCs w:val="21"/>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采购计划管理-</w:t>
            </w:r>
            <w:r>
              <w:rPr>
                <w:rFonts w:ascii="Tahoma" w:hAnsi="Tahoma" w:eastAsia="Tahoma" w:cs="Tahoma"/>
                <w:color w:val="333333"/>
                <w:sz w:val="21"/>
                <w:szCs w:val="21"/>
              </w:rPr>
              <w:t>采购计划执行情况</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采购完成后，数据回传到采购管理系统计划模版。</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立项选择时，勾选采购计划的编号，回传采购计划模块，显示执行情况。</w:t>
            </w:r>
          </w:p>
          <w:p>
            <w:pPr>
              <w:spacing w:line="360" w:lineRule="auto"/>
              <w:rPr>
                <w:rFonts w:ascii="Tahoma" w:hAnsi="Tahoma" w:eastAsia="Tahoma" w:cs="Tahoma"/>
                <w:color w:val="333333"/>
                <w:sz w:val="21"/>
                <w:szCs w:val="21"/>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w:t>
            </w:r>
            <w:r>
              <w:rPr>
                <w:rFonts w:ascii="Tahoma" w:hAnsi="Tahoma" w:eastAsia="Tahoma" w:cs="Tahoma"/>
                <w:color w:val="333333"/>
                <w:sz w:val="21"/>
                <w:szCs w:val="21"/>
              </w:rPr>
              <w:t>招投标管理</w:t>
            </w:r>
          </w:p>
        </w:tc>
        <w:tc>
          <w:tcPr>
            <w:tcW w:w="2519" w:type="pct"/>
          </w:tcPr>
          <w:p>
            <w:pPr>
              <w:keepNext w:val="0"/>
              <w:keepLines w:val="0"/>
              <w:widowControl/>
              <w:suppressLineNumbers w:val="0"/>
              <w:jc w:val="left"/>
              <w:rPr>
                <w:sz w:val="19"/>
                <w:szCs w:val="19"/>
              </w:rPr>
            </w:pPr>
            <w:r>
              <w:rPr>
                <w:rFonts w:ascii="Tahoma" w:hAnsi="Tahoma" w:eastAsia="Tahoma" w:cs="Tahoma"/>
                <w:color w:val="333333"/>
                <w:sz w:val="21"/>
                <w:szCs w:val="21"/>
              </w:rPr>
              <w:t>1、采购根据多个项目以及供应商情况创建招投标需求清单：根据采购需求池中沉淀的需求，创建招投标流程，可设置期望到货日期、招投标截止日期等信息。整个流程将包含：邀标、报名、投标、答疑、评标、开标、开标通知、发送中标通知书等环节。2、</w:t>
            </w:r>
            <w:r>
              <w:rPr>
                <w:rFonts w:ascii="Tahoma" w:hAnsi="Tahoma" w:eastAsia="Tahoma" w:cs="Tahoma"/>
                <w:kern w:val="0"/>
                <w:sz w:val="19"/>
                <w:szCs w:val="19"/>
                <w:lang w:val="en-US" w:eastAsia="zh-CN" w:bidi="ar"/>
              </w:rPr>
              <w:t>公告-投标-组建专家团-线上评标-评分表汇总-评标结果</w:t>
            </w:r>
          </w:p>
          <w:p>
            <w:pPr>
              <w:keepNext w:val="0"/>
              <w:keepLines w:val="0"/>
              <w:widowControl/>
              <w:suppressLineNumbers w:val="0"/>
              <w:jc w:val="left"/>
              <w:rPr>
                <w:rFonts w:hint="default"/>
                <w:sz w:val="19"/>
                <w:szCs w:val="19"/>
              </w:rPr>
            </w:pPr>
            <w:r>
              <w:rPr>
                <w:rFonts w:hint="default" w:ascii="Tahoma" w:hAnsi="Tahoma" w:eastAsia="Tahoma" w:cs="Tahoma"/>
                <w:kern w:val="0"/>
                <w:sz w:val="19"/>
                <w:szCs w:val="19"/>
                <w:lang w:val="en-US" w:eastAsia="zh-CN" w:bidi="ar"/>
              </w:rPr>
              <w:t>招标公告的对接：民生官网、招标网、金采网。</w:t>
            </w:r>
            <w:r>
              <w:rPr>
                <w:rFonts w:hint="default" w:ascii="Tahoma" w:hAnsi="Tahoma" w:eastAsia="Tahoma" w:cs="Tahoma"/>
                <w:kern w:val="0"/>
                <w:sz w:val="19"/>
                <w:szCs w:val="19"/>
                <w:lang w:eastAsia="zh-CN" w:bidi="ar"/>
              </w:rPr>
              <w:t>3、</w:t>
            </w:r>
            <w:r>
              <w:rPr>
                <w:rFonts w:ascii="Tahoma" w:hAnsi="Tahoma" w:eastAsia="Tahoma" w:cs="Tahoma"/>
                <w:sz w:val="19"/>
                <w:szCs w:val="19"/>
              </w:rPr>
              <w:t>采购实施表单归档</w:t>
            </w:r>
          </w:p>
          <w:p>
            <w:pPr>
              <w:spacing w:line="360" w:lineRule="auto"/>
              <w:rPr>
                <w:rFonts w:hint="default" w:ascii="Tahoma" w:hAnsi="Tahoma" w:eastAsia="Tahoma" w:cs="Tahoma"/>
                <w:color w:val="333333"/>
                <w:sz w:val="21"/>
                <w:szCs w:val="21"/>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w:t>
            </w:r>
            <w:r>
              <w:rPr>
                <w:rFonts w:ascii="Tahoma" w:hAnsi="Tahoma" w:eastAsia="Tahoma" w:cs="Tahoma"/>
                <w:color w:val="333333"/>
                <w:sz w:val="21"/>
                <w:szCs w:val="21"/>
              </w:rPr>
              <w:t>竞争性谈判模块</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竞争性谈判邀请发送；</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线上竞争性谈判；</w:t>
            </w:r>
          </w:p>
          <w:p>
            <w:pPr>
              <w:keepNext w:val="0"/>
              <w:keepLines w:val="0"/>
              <w:widowControl/>
              <w:suppressLineNumbers w:val="0"/>
              <w:jc w:val="left"/>
              <w:rPr>
                <w:rFonts w:hint="default" w:ascii="Tahoma" w:hAnsi="Tahoma" w:eastAsia="Tahoma" w:cs="Tahoma"/>
                <w:color w:val="333333"/>
                <w:sz w:val="21"/>
                <w:szCs w:val="21"/>
              </w:rPr>
            </w:pPr>
            <w:r>
              <w:rPr>
                <w:rFonts w:hint="default" w:ascii="Tahoma" w:hAnsi="Tahoma" w:eastAsia="Tahoma" w:cs="Tahoma"/>
                <w:color w:val="333333"/>
                <w:kern w:val="0"/>
                <w:sz w:val="21"/>
                <w:szCs w:val="21"/>
                <w:lang w:val="en-US" w:eastAsia="zh-CN" w:bidi="ar"/>
              </w:rPr>
              <w:t>竞争性谈判记录表（模版）记录与归档。</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采购实施-询比价-</w:t>
            </w:r>
            <w:r>
              <w:rPr>
                <w:rFonts w:ascii="Tahoma" w:hAnsi="Tahoma" w:eastAsia="Tahoma" w:cs="Tahoma"/>
                <w:color w:val="333333"/>
                <w:sz w:val="21"/>
                <w:szCs w:val="21"/>
              </w:rPr>
              <w:t>创建询报价需求、发起询价</w:t>
            </w:r>
          </w:p>
        </w:tc>
        <w:tc>
          <w:tcPr>
            <w:tcW w:w="2519" w:type="pct"/>
          </w:tcPr>
          <w:p>
            <w:pPr>
              <w:keepNext w:val="0"/>
              <w:keepLines w:val="0"/>
              <w:widowControl/>
              <w:suppressLineNumbers w:val="0"/>
              <w:jc w:val="left"/>
              <w:rPr>
                <w:rFonts w:hint="default" w:ascii="Tahoma" w:hAnsi="Tahoma" w:eastAsia="Tahoma" w:cs="Tahoma"/>
                <w:color w:val="333333"/>
                <w:kern w:val="0"/>
                <w:sz w:val="21"/>
                <w:szCs w:val="21"/>
                <w:lang w:val="en-US" w:eastAsia="zh-CN" w:bidi="ar"/>
              </w:rPr>
            </w:pPr>
            <w:r>
              <w:rPr>
                <w:rFonts w:ascii="Tahoma" w:hAnsi="Tahoma" w:eastAsia="Tahoma" w:cs="Tahoma"/>
                <w:color w:val="333333"/>
                <w:sz w:val="21"/>
                <w:szCs w:val="21"/>
              </w:rPr>
              <w:t>采购根据立项项目以及供应商情况创建询报价需求清单：根据采购需求池中沉淀的需求，创建询报价需求单，可设置期望到货日期、报价截止日期等信息。选择对应报价供应商，将询报价流程触发“供应商报价”流程，推送到各供应商流程代办中。</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采购实施-询比价-</w:t>
            </w:r>
            <w:r>
              <w:rPr>
                <w:rFonts w:ascii="Tahoma" w:hAnsi="Tahoma" w:eastAsia="Tahoma" w:cs="Tahoma"/>
                <w:color w:val="333333"/>
                <w:sz w:val="21"/>
                <w:szCs w:val="21"/>
              </w:rPr>
              <w:t>供应商报价</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供应商在该流程中报价：供应商根据自身情况上报价格明细，提交后流转至采购处审核。如果采购判断当前供应商报价不符合规定逻辑，可打回让供应商重新报价。</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采购实施-询比价-</w:t>
            </w:r>
            <w:r>
              <w:rPr>
                <w:rFonts w:ascii="Tahoma" w:hAnsi="Tahoma" w:eastAsia="Tahoma" w:cs="Tahoma"/>
                <w:color w:val="333333"/>
                <w:sz w:val="21"/>
                <w:szCs w:val="21"/>
              </w:rPr>
              <w:t>比价分析</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各级供应商上报的报价数据在该仪表盘中展现，可横向对比同一笔订单不同供应商之间的报价情况：提供询报价需求编号、产品编号、产品名称、报价供应商等字段作为筛选条件，作为筛选组件与后续数据展示图表关联。以及展示符合上述字段条件的报价次数分布图，商品报价均价、最大值最小值、物料维度比价表、供应商维度比较标等内容。</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采购实施-询比价-</w:t>
            </w:r>
            <w:r>
              <w:rPr>
                <w:rFonts w:ascii="Tahoma" w:hAnsi="Tahoma" w:eastAsia="Tahoma" w:cs="Tahoma"/>
                <w:color w:val="333333"/>
                <w:sz w:val="21"/>
                <w:szCs w:val="21"/>
              </w:rPr>
              <w:t>核价</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确定本次询价需求的最终采购供应商：选中询报价需求表单，选中对应项目供应商的最终确认报价，完成本次采购报价以及采购供应商的确认动作。</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采购实施-询比价-</w:t>
            </w:r>
            <w:r>
              <w:rPr>
                <w:rFonts w:ascii="Tahoma" w:hAnsi="Tahoma" w:eastAsia="Tahoma" w:cs="Tahoma"/>
                <w:sz w:val="19"/>
                <w:szCs w:val="19"/>
              </w:rPr>
              <w:t>归档</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19"/>
                <w:szCs w:val="19"/>
              </w:rPr>
              <w:t>采购实施表单归档</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sz w:val="19"/>
                <w:szCs w:val="19"/>
              </w:rPr>
            </w:pPr>
            <w:r>
              <w:rPr>
                <w:rFonts w:ascii="Tahoma" w:hAnsi="Tahoma" w:eastAsia="Tahoma" w:cs="Tahoma"/>
                <w:b/>
                <w:bCs/>
                <w:color w:val="333333"/>
                <w:sz w:val="21"/>
                <w:szCs w:val="21"/>
              </w:rPr>
              <w:t>供应商管理-</w:t>
            </w:r>
            <w:r>
              <w:rPr>
                <w:rFonts w:ascii="Tahoma" w:hAnsi="Tahoma" w:eastAsia="Tahoma" w:cs="Tahoma"/>
                <w:color w:val="333333"/>
                <w:sz w:val="21"/>
                <w:szCs w:val="21"/>
              </w:rPr>
              <w:t>供应商注册</w:t>
            </w:r>
          </w:p>
        </w:tc>
        <w:tc>
          <w:tcPr>
            <w:tcW w:w="2519" w:type="pct"/>
          </w:tcPr>
          <w:p>
            <w:pPr>
              <w:keepNext w:val="0"/>
              <w:keepLines w:val="0"/>
              <w:widowControl/>
              <w:suppressLineNumbers w:val="0"/>
              <w:jc w:val="left"/>
              <w:rPr>
                <w:rFonts w:ascii="Tahoma" w:hAnsi="Tahoma" w:eastAsia="Tahoma" w:cs="Tahoma"/>
                <w:sz w:val="19"/>
                <w:szCs w:val="19"/>
              </w:rPr>
            </w:pPr>
            <w:r>
              <w:rPr>
                <w:rFonts w:ascii="Tahoma" w:hAnsi="Tahoma" w:eastAsia="Tahoma" w:cs="Tahoma"/>
                <w:color w:val="333333"/>
                <w:sz w:val="21"/>
                <w:szCs w:val="21"/>
              </w:rPr>
              <w:t>供应商基础信息台账：可通过公开链接形式开放给供应商填报（供应商pc端和手机端），填报后相关字段保存在应用中供后续表单调用。</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供应商管理-</w:t>
            </w:r>
            <w:r>
              <w:rPr>
                <w:rFonts w:ascii="Tahoma" w:hAnsi="Tahoma" w:eastAsia="Tahoma" w:cs="Tahoma"/>
                <w:color w:val="333333"/>
                <w:sz w:val="21"/>
                <w:szCs w:val="21"/>
              </w:rPr>
              <w:t>供应商准入</w:t>
            </w:r>
          </w:p>
        </w:tc>
        <w:tc>
          <w:tcPr>
            <w:tcW w:w="2519" w:type="pct"/>
          </w:tcPr>
          <w:p>
            <w:pPr>
              <w:keepNext w:val="0"/>
              <w:keepLines w:val="0"/>
              <w:widowControl/>
              <w:suppressLineNumbers w:val="0"/>
              <w:jc w:val="left"/>
              <w:rPr>
                <w:sz w:val="21"/>
                <w:szCs w:val="21"/>
              </w:rPr>
            </w:pPr>
            <w:r>
              <w:rPr>
                <w:rFonts w:ascii="Tahoma" w:hAnsi="Tahoma" w:eastAsia="Tahoma" w:cs="Tahoma"/>
                <w:color w:val="333333"/>
                <w:kern w:val="0"/>
                <w:sz w:val="21"/>
                <w:szCs w:val="21"/>
                <w:lang w:val="en-US" w:eastAsia="zh-CN" w:bidi="ar"/>
              </w:rPr>
              <w:t>基于“供应商注册”表单填报数据：选择供应商后自动带出供应商注册台账中供应商填报的数据，供应商管理人员审批通过后进入实际采购供应商台账。准入可参考“供应商准入条例”中的数据，根据条例中的标准定义供应商分数，以此判断当前供应商是否可进入公司供应商库。</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准入表单填写（模版）</w:t>
            </w:r>
          </w:p>
          <w:p>
            <w:pPr>
              <w:keepNext w:val="0"/>
              <w:keepLines w:val="0"/>
              <w:widowControl/>
              <w:suppressLineNumbers w:val="0"/>
              <w:jc w:val="left"/>
              <w:rPr>
                <w:sz w:val="21"/>
                <w:szCs w:val="21"/>
              </w:rPr>
            </w:pPr>
            <w:r>
              <w:rPr>
                <w:rFonts w:hint="default" w:ascii="Tahoma" w:hAnsi="Tahoma" w:eastAsia="Tahoma" w:cs="Tahoma"/>
                <w:color w:val="333333"/>
                <w:kern w:val="0"/>
                <w:sz w:val="21"/>
                <w:szCs w:val="21"/>
                <w:lang w:val="en-US" w:eastAsia="zh-CN" w:bidi="ar"/>
              </w:rPr>
              <w:t>供应商准入审核流程：提交申请人-申请人部门长-合规岗-采购岗</w:t>
            </w:r>
          </w:p>
          <w:p>
            <w:pPr>
              <w:keepNext w:val="0"/>
              <w:keepLines w:val="0"/>
              <w:widowControl/>
              <w:suppressLineNumbers w:val="0"/>
              <w:jc w:val="left"/>
              <w:rPr>
                <w:rFonts w:ascii="Tahoma" w:hAnsi="Tahoma" w:eastAsia="Tahoma" w:cs="Tahoma"/>
                <w:color w:val="333333"/>
                <w:sz w:val="21"/>
                <w:szCs w:val="21"/>
              </w:rPr>
            </w:pPr>
            <w:r>
              <w:rPr>
                <w:rFonts w:hint="default" w:ascii="Tahoma" w:hAnsi="Tahoma" w:eastAsia="Tahoma" w:cs="Tahoma"/>
                <w:color w:val="333333"/>
                <w:kern w:val="0"/>
                <w:sz w:val="21"/>
                <w:szCs w:val="21"/>
                <w:lang w:val="en-US" w:eastAsia="zh-CN" w:bidi="ar"/>
              </w:rPr>
              <w:t>审批通过的供应商在立项申请时可勾选，飞书对接。</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供应商管理-</w:t>
            </w:r>
            <w:r>
              <w:rPr>
                <w:rFonts w:ascii="Tahoma" w:hAnsi="Tahoma" w:eastAsia="Tahoma" w:cs="Tahoma"/>
                <w:color w:val="333333"/>
                <w:sz w:val="21"/>
                <w:szCs w:val="21"/>
              </w:rPr>
              <w:t>供应商评价</w:t>
            </w:r>
          </w:p>
        </w:tc>
        <w:tc>
          <w:tcPr>
            <w:tcW w:w="2519" w:type="pct"/>
          </w:tcPr>
          <w:p>
            <w:pPr>
              <w:keepNext w:val="0"/>
              <w:keepLines w:val="0"/>
              <w:widowControl/>
              <w:suppressLineNumbers w:val="0"/>
              <w:jc w:val="left"/>
              <w:rPr>
                <w:rFonts w:hint="default" w:ascii="Tahoma" w:hAnsi="Tahoma" w:eastAsia="Tahoma" w:cs="Tahoma"/>
                <w:color w:val="333333"/>
                <w:kern w:val="0"/>
                <w:sz w:val="21"/>
                <w:szCs w:val="21"/>
                <w:lang w:val="en-US" w:eastAsia="zh-CN" w:bidi="ar"/>
              </w:rPr>
            </w:pPr>
            <w:r>
              <w:rPr>
                <w:rFonts w:ascii="Tahoma" w:hAnsi="Tahoma" w:eastAsia="Tahoma" w:cs="Tahoma"/>
                <w:color w:val="333333"/>
                <w:sz w:val="21"/>
                <w:szCs w:val="21"/>
              </w:rPr>
              <w:t>用于周期性评估供应商的绩效，包括质量、交货、服务、价格等多个维度，包括评分机制、反馈收集和绩效改进计划。</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供应商管理-</w:t>
            </w:r>
            <w:r>
              <w:rPr>
                <w:rFonts w:ascii="Tahoma" w:hAnsi="Tahoma" w:eastAsia="Tahoma" w:cs="Tahoma"/>
                <w:color w:val="333333"/>
                <w:sz w:val="21"/>
                <w:szCs w:val="21"/>
              </w:rPr>
              <w:t>供应商档案查询</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提供一个表单界面用于检索供应商的详细信息和历史记录，包括基本信息、交易历史、评价结果等。</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sz w:val="21"/>
                <w:szCs w:val="21"/>
              </w:rPr>
              <w:t>采购商城</w:t>
            </w:r>
          </w:p>
        </w:tc>
        <w:tc>
          <w:tcPr>
            <w:tcW w:w="2519" w:type="pct"/>
          </w:tcPr>
          <w:p>
            <w:pPr>
              <w:keepNext w:val="0"/>
              <w:keepLines w:val="0"/>
              <w:widowControl/>
              <w:suppressLineNumbers w:val="0"/>
              <w:jc w:val="left"/>
              <w:rPr>
                <w:sz w:val="21"/>
                <w:szCs w:val="21"/>
              </w:rPr>
            </w:pPr>
            <w:r>
              <w:rPr>
                <w:rFonts w:ascii="Tahoma" w:hAnsi="Tahoma" w:eastAsia="Tahoma" w:cs="Tahoma"/>
                <w:kern w:val="0"/>
                <w:sz w:val="21"/>
                <w:szCs w:val="21"/>
                <w:lang w:val="en-US" w:eastAsia="zh-CN" w:bidi="ar"/>
              </w:rPr>
              <w:t>立项提交填写是跳转到商品勾选商品</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立项通过之后结果回传到商城，自动下单。</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sz w:val="21"/>
                <w:szCs w:val="21"/>
              </w:rPr>
            </w:pPr>
            <w:r>
              <w:rPr>
                <w:rFonts w:ascii="Tahoma" w:hAnsi="Tahoma" w:eastAsia="Tahoma" w:cs="Tahoma"/>
                <w:b/>
                <w:bCs/>
                <w:color w:val="333333"/>
                <w:sz w:val="21"/>
                <w:szCs w:val="21"/>
              </w:rPr>
              <w:t>立项预算</w:t>
            </w:r>
            <w:r>
              <w:rPr>
                <w:rFonts w:ascii="Tahoma" w:hAnsi="Tahoma" w:eastAsia="Tahoma" w:cs="Tahoma"/>
                <w:color w:val="333333"/>
                <w:sz w:val="21"/>
                <w:szCs w:val="21"/>
              </w:rPr>
              <w:t>部门预算管理</w:t>
            </w:r>
          </w:p>
        </w:tc>
        <w:tc>
          <w:tcPr>
            <w:tcW w:w="2519" w:type="pct"/>
          </w:tcPr>
          <w:p>
            <w:pPr>
              <w:keepNext w:val="0"/>
              <w:keepLines w:val="0"/>
              <w:widowControl/>
              <w:suppressLineNumbers w:val="0"/>
              <w:jc w:val="left"/>
              <w:rPr>
                <w:sz w:val="21"/>
                <w:szCs w:val="21"/>
              </w:rPr>
            </w:pPr>
            <w:r>
              <w:rPr>
                <w:rFonts w:ascii="Tahoma" w:hAnsi="Tahoma" w:eastAsia="Tahoma" w:cs="Tahoma"/>
                <w:kern w:val="0"/>
                <w:sz w:val="21"/>
                <w:szCs w:val="21"/>
                <w:lang w:val="en-US" w:eastAsia="zh-CN" w:bidi="ar"/>
              </w:rPr>
              <w:t>各部门预算管理，已用未用预算查询。可能需要对接元年共享系统，取预算数据。</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一期：不涉及</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二期：涉及共享预算信息的对接</w:t>
            </w:r>
          </w:p>
          <w:p>
            <w:pPr>
              <w:keepNext w:val="0"/>
              <w:keepLines w:val="0"/>
              <w:widowControl/>
              <w:suppressLineNumbers w:val="0"/>
              <w:jc w:val="left"/>
              <w:rPr>
                <w:rFonts w:ascii="Tahoma" w:hAnsi="Tahoma" w:eastAsia="Tahoma" w:cs="Tahoma"/>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立项预算-</w:t>
            </w:r>
            <w:r>
              <w:rPr>
                <w:rFonts w:ascii="Tahoma" w:hAnsi="Tahoma" w:eastAsia="Tahoma" w:cs="Tahoma"/>
                <w:color w:val="333333"/>
                <w:sz w:val="21"/>
                <w:szCs w:val="21"/>
              </w:rPr>
              <w:t>基础信息表</w:t>
            </w:r>
          </w:p>
        </w:tc>
        <w:tc>
          <w:tcPr>
            <w:tcW w:w="2519" w:type="pct"/>
          </w:tcPr>
          <w:p>
            <w:pPr>
              <w:keepNext w:val="0"/>
              <w:keepLines w:val="0"/>
              <w:widowControl/>
              <w:suppressLineNumbers w:val="0"/>
              <w:jc w:val="left"/>
              <w:rPr>
                <w:rFonts w:ascii="Tahoma" w:hAnsi="Tahoma" w:eastAsia="Tahoma" w:cs="Tahoma"/>
                <w:sz w:val="21"/>
                <w:szCs w:val="21"/>
              </w:rPr>
            </w:pPr>
            <w:r>
              <w:rPr>
                <w:rFonts w:ascii="Tahoma" w:hAnsi="Tahoma" w:eastAsia="Tahoma" w:cs="Tahoma"/>
                <w:sz w:val="21"/>
                <w:szCs w:val="21"/>
              </w:rPr>
              <w:t>基础信息表，例如有：预算科目、打分维度等，可在部门预算管理中需要关联本项</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立项预算-</w:t>
            </w:r>
            <w:r>
              <w:rPr>
                <w:rFonts w:ascii="Tahoma" w:hAnsi="Tahoma" w:eastAsia="Tahoma" w:cs="Tahoma"/>
                <w:color w:val="333333"/>
                <w:sz w:val="21"/>
                <w:szCs w:val="21"/>
              </w:rPr>
              <w:t>采购立项</w:t>
            </w:r>
          </w:p>
        </w:tc>
        <w:tc>
          <w:tcPr>
            <w:tcW w:w="2519" w:type="pct"/>
          </w:tcPr>
          <w:p>
            <w:pPr>
              <w:keepNext w:val="0"/>
              <w:keepLines w:val="0"/>
              <w:widowControl/>
              <w:suppressLineNumbers w:val="0"/>
              <w:jc w:val="left"/>
              <w:rPr>
                <w:sz w:val="21"/>
                <w:szCs w:val="21"/>
              </w:rPr>
            </w:pPr>
            <w:r>
              <w:rPr>
                <w:rFonts w:ascii="Tahoma" w:hAnsi="Tahoma" w:eastAsia="Tahoma" w:cs="Tahoma"/>
                <w:kern w:val="0"/>
                <w:sz w:val="21"/>
                <w:szCs w:val="21"/>
                <w:lang w:val="en-US" w:eastAsia="zh-CN" w:bidi="ar"/>
              </w:rPr>
              <w:t>各部门根据预算情况发起采购立项，内部审核后，发通知给对应供应商，之后采购可以据此发起询价流程。询价流程也可以关联本立项流程。</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采购审批以飞书为入口；</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采购管理系统与飞书对接；（飞书为审批流；数据回传到采购管理系统）</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候选供应商库：勾选（与采购管理系统供应商库信息对接）</w:t>
            </w:r>
          </w:p>
          <w:p>
            <w:pPr>
              <w:keepNext w:val="0"/>
              <w:keepLines w:val="0"/>
              <w:widowControl/>
              <w:suppressLineNumbers w:val="0"/>
              <w:jc w:val="left"/>
              <w:rPr>
                <w:sz w:val="21"/>
                <w:szCs w:val="21"/>
              </w:rPr>
            </w:pPr>
            <w:r>
              <w:rPr>
                <w:rFonts w:hint="default" w:ascii="Tahoma" w:hAnsi="Tahoma" w:eastAsia="Tahoma" w:cs="Tahoma"/>
                <w:kern w:val="0"/>
                <w:sz w:val="21"/>
                <w:szCs w:val="21"/>
                <w:lang w:val="en-US" w:eastAsia="zh-CN" w:bidi="ar"/>
              </w:rPr>
              <w:t>品类采购对接采购商城。（单点登录“采购商城”加购物车后跳转回飞书审批）</w:t>
            </w:r>
          </w:p>
          <w:p>
            <w:pPr>
              <w:keepNext w:val="0"/>
              <w:keepLines w:val="0"/>
              <w:widowControl/>
              <w:suppressLineNumbers w:val="0"/>
              <w:jc w:val="left"/>
              <w:rPr>
                <w:rFonts w:ascii="Tahoma" w:hAnsi="Tahoma" w:eastAsia="Tahoma" w:cs="Tahoma"/>
                <w:sz w:val="21"/>
                <w:szCs w:val="21"/>
              </w:rPr>
            </w:pP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订单协同-</w:t>
            </w:r>
            <w:r>
              <w:rPr>
                <w:rFonts w:ascii="Tahoma" w:hAnsi="Tahoma" w:eastAsia="Tahoma" w:cs="Tahoma"/>
                <w:sz w:val="19"/>
                <w:szCs w:val="19"/>
              </w:rPr>
              <w:t>合同台账</w:t>
            </w:r>
          </w:p>
        </w:tc>
        <w:tc>
          <w:tcPr>
            <w:tcW w:w="2519" w:type="pct"/>
          </w:tcPr>
          <w:p>
            <w:pPr>
              <w:keepNext w:val="0"/>
              <w:keepLines w:val="0"/>
              <w:widowControl/>
              <w:suppressLineNumbers w:val="0"/>
              <w:jc w:val="left"/>
              <w:rPr>
                <w:rFonts w:ascii="Tahoma" w:hAnsi="Tahoma" w:eastAsia="Tahoma" w:cs="Tahoma"/>
                <w:sz w:val="21"/>
                <w:szCs w:val="21"/>
              </w:rPr>
            </w:pPr>
            <w:r>
              <w:rPr>
                <w:rFonts w:ascii="Tahoma" w:hAnsi="Tahoma" w:eastAsia="Tahoma" w:cs="Tahoma"/>
                <w:sz w:val="19"/>
                <w:szCs w:val="19"/>
              </w:rPr>
              <w:t>框架协议签订后同步到采购管理系统</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sz w:val="19"/>
                <w:szCs w:val="19"/>
              </w:rPr>
            </w:pPr>
            <w:r>
              <w:rPr>
                <w:rFonts w:ascii="Tahoma" w:hAnsi="Tahoma" w:eastAsia="Tahoma" w:cs="Tahoma"/>
                <w:b/>
                <w:bCs/>
                <w:color w:val="333333"/>
                <w:sz w:val="21"/>
                <w:szCs w:val="21"/>
              </w:rPr>
              <w:t>订单协同-</w:t>
            </w:r>
            <w:r>
              <w:rPr>
                <w:rFonts w:ascii="Tahoma" w:hAnsi="Tahoma" w:eastAsia="Tahoma" w:cs="Tahoma"/>
                <w:color w:val="333333"/>
                <w:sz w:val="21"/>
                <w:szCs w:val="21"/>
              </w:rPr>
              <w:t>订单用印</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基于采购核价内容，将相关采购管理数据填充到当前合同中，进行用印申请，也可创建对应合同模版，实现对应效果的打印。</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订单协同-</w:t>
            </w:r>
            <w:r>
              <w:rPr>
                <w:rFonts w:ascii="Tahoma" w:hAnsi="Tahoma" w:eastAsia="Tahoma" w:cs="Tahoma"/>
                <w:color w:val="333333"/>
                <w:sz w:val="21"/>
                <w:szCs w:val="21"/>
              </w:rPr>
              <w:t>签收</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采购发起的源头，需要以签收流程作为收尾。内容可以引用上述所有流程，例如：立项、询价、合同等流程。</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财务协同-</w:t>
            </w:r>
            <w:r>
              <w:rPr>
                <w:rFonts w:ascii="Tahoma" w:hAnsi="Tahoma" w:eastAsia="Tahoma" w:cs="Tahoma"/>
                <w:color w:val="333333"/>
                <w:sz w:val="21"/>
                <w:szCs w:val="21"/>
              </w:rPr>
              <w:t>对账单</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由供应商或需求提出人发起,确认供应商交易明细，包括订单、发货、退货、付款等所有活动，核对实际交易记录与供应商账目，确保信息经供应商以及需求提出人确定一致.</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财务协同-</w:t>
            </w:r>
            <w:r>
              <w:rPr>
                <w:rFonts w:ascii="Tahoma" w:hAnsi="Tahoma" w:eastAsia="Tahoma" w:cs="Tahoma"/>
                <w:color w:val="333333"/>
                <w:sz w:val="21"/>
                <w:szCs w:val="21"/>
              </w:rPr>
              <w:t>付款单</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记录向供应商付款的记录，包括付款金额、付款日期、付款方式和收款人信息等，为执行支付操作提供凭证。</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Pr>
          <w:p>
            <w:pPr>
              <w:spacing w:line="360" w:lineRule="auto"/>
              <w:rPr>
                <w:rFonts w:ascii="Tahoma" w:hAnsi="Tahoma" w:eastAsia="Tahoma" w:cs="Tahoma"/>
                <w:color w:val="333333"/>
                <w:sz w:val="21"/>
                <w:szCs w:val="21"/>
              </w:rPr>
            </w:pPr>
            <w:r>
              <w:rPr>
                <w:rFonts w:ascii="Tahoma" w:hAnsi="Tahoma" w:eastAsia="Tahoma" w:cs="Tahoma"/>
                <w:b/>
                <w:bCs/>
                <w:color w:val="333333"/>
                <w:sz w:val="21"/>
                <w:szCs w:val="21"/>
              </w:rPr>
              <w:t>财务协同-</w:t>
            </w:r>
            <w:r>
              <w:rPr>
                <w:rFonts w:ascii="Tahoma" w:hAnsi="Tahoma" w:eastAsia="Tahoma" w:cs="Tahoma"/>
                <w:color w:val="333333"/>
                <w:sz w:val="21"/>
                <w:szCs w:val="21"/>
              </w:rPr>
              <w:t>供应商对账看板</w:t>
            </w:r>
          </w:p>
        </w:tc>
        <w:tc>
          <w:tcPr>
            <w:tcW w:w="2519" w:type="pct"/>
          </w:tcPr>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color w:val="333333"/>
                <w:sz w:val="21"/>
                <w:szCs w:val="21"/>
              </w:rPr>
              <w:t>提供实时视图，显示与各供应商相关的财务状态和活动，如未结发票、待付款项、近期付款等，帮助财务团队有效监控和管理供应商财务关系。</w:t>
            </w:r>
          </w:p>
          <w:p>
            <w:pPr>
              <w:keepNext w:val="0"/>
              <w:keepLines w:val="0"/>
              <w:widowControl/>
              <w:suppressLineNumbers w:val="0"/>
              <w:jc w:val="left"/>
              <w:rPr>
                <w:rFonts w:ascii="Tahoma" w:hAnsi="Tahoma" w:eastAsia="Tahoma" w:cs="Tahoma"/>
                <w:color w:val="333333"/>
                <w:sz w:val="21"/>
                <w:szCs w:val="21"/>
              </w:rPr>
            </w:pPr>
            <w:r>
              <w:rPr>
                <w:rFonts w:ascii="Tahoma" w:hAnsi="Tahoma" w:eastAsia="Tahoma" w:cs="Tahoma"/>
                <w:sz w:val="21"/>
                <w:szCs w:val="21"/>
              </w:rPr>
              <w:t>（可不报价，仅评估可操作性）</w:t>
            </w:r>
          </w:p>
        </w:tc>
        <w:tc>
          <w:tcPr>
            <w:tcW w:w="910" w:type="pct"/>
          </w:tcPr>
          <w:p>
            <w:pPr>
              <w:spacing w:line="360" w:lineRule="auto"/>
              <w:rPr>
                <w:rFonts w:ascii="宋体" w:hAnsi="宋体"/>
                <w:bCs/>
                <w:szCs w:val="36"/>
              </w:rPr>
            </w:pPr>
          </w:p>
        </w:tc>
        <w:tc>
          <w:tcPr>
            <w:tcW w:w="720" w:type="pct"/>
          </w:tcPr>
          <w:p>
            <w:pPr>
              <w:spacing w:line="360" w:lineRule="auto"/>
              <w:rPr>
                <w:rFonts w:ascii="宋体" w:hAnsi="宋体"/>
                <w:bCs/>
                <w:szCs w:val="36"/>
              </w:rPr>
            </w:pPr>
          </w:p>
        </w:tc>
      </w:tr>
    </w:tbl>
    <w:p>
      <w:pPr>
        <w:keepNext w:val="0"/>
        <w:keepLines w:val="0"/>
        <w:widowControl/>
        <w:suppressLineNumbers w:val="0"/>
        <w:jc w:val="left"/>
        <w:rPr>
          <w:rFonts w:hint="default" w:ascii="Tahoma" w:hAnsi="Tahoma" w:eastAsia="Tahoma" w:cs="Tahoma"/>
          <w:b/>
          <w:bCs/>
          <w:color w:val="333333"/>
          <w:kern w:val="0"/>
          <w:sz w:val="21"/>
          <w:szCs w:val="21"/>
          <w:lang w:val="en-US" w:eastAsia="zh-CN" w:bidi="ar"/>
        </w:rPr>
      </w:pPr>
      <w:r>
        <w:rPr>
          <w:rFonts w:ascii="Tahoma" w:hAnsi="Tahoma" w:eastAsia="Tahoma" w:cs="Tahoma"/>
          <w:b/>
          <w:bCs/>
          <w:color w:val="333333"/>
          <w:kern w:val="0"/>
          <w:sz w:val="21"/>
          <w:szCs w:val="21"/>
          <w:lang w:val="en-US" w:eastAsia="zh-CN" w:bidi="ar"/>
        </w:rPr>
        <w:t>补充说明：</w:t>
      </w:r>
      <w:r>
        <w:rPr>
          <w:rFonts w:hint="default" w:ascii="Tahoma" w:hAnsi="Tahoma" w:eastAsia="Tahoma" w:cs="Tahoma"/>
          <w:b/>
          <w:bCs/>
          <w:color w:val="333333"/>
          <w:kern w:val="0"/>
          <w:sz w:val="21"/>
          <w:szCs w:val="21"/>
          <w:lang w:val="en-US" w:eastAsia="zh-CN" w:bidi="ar"/>
        </w:rPr>
        <w:t>业务需求功能清单以合同沟通环节意见为准。</w:t>
      </w:r>
    </w:p>
    <w:p>
      <w:pPr>
        <w:keepNext w:val="0"/>
        <w:keepLines w:val="0"/>
        <w:widowControl/>
        <w:suppressLineNumbers w:val="0"/>
        <w:jc w:val="left"/>
        <w:rPr>
          <w:rFonts w:hint="default" w:ascii="Tahoma" w:hAnsi="Tahoma" w:eastAsia="Tahoma" w:cs="Tahoma"/>
          <w:b/>
          <w:bCs/>
          <w:color w:val="333333"/>
          <w:kern w:val="0"/>
          <w:sz w:val="21"/>
          <w:szCs w:val="21"/>
          <w:lang w:eastAsia="zh-CN" w:bidi="ar"/>
        </w:rPr>
      </w:pPr>
      <w:r>
        <w:rPr>
          <w:rFonts w:hint="default" w:ascii="Tahoma" w:hAnsi="Tahoma" w:eastAsia="Tahoma" w:cs="Tahoma"/>
          <w:b/>
          <w:bCs/>
          <w:color w:val="333333"/>
          <w:kern w:val="0"/>
          <w:sz w:val="21"/>
          <w:szCs w:val="21"/>
          <w:lang w:eastAsia="zh-CN" w:bidi="ar"/>
        </w:rPr>
        <w:t>述标环节POC演示要求：</w:t>
      </w:r>
    </w:p>
    <w:p>
      <w:pPr>
        <w:keepNext w:val="0"/>
        <w:keepLines w:val="0"/>
        <w:widowControl/>
        <w:numPr>
          <w:ilvl w:val="0"/>
          <w:numId w:val="8"/>
        </w:numPr>
        <w:suppressLineNumbers w:val="0"/>
        <w:jc w:val="left"/>
        <w:rPr>
          <w:rFonts w:ascii="Tahoma" w:hAnsi="Tahoma" w:eastAsia="Tahoma" w:cs="Tahoma"/>
          <w:sz w:val="19"/>
          <w:szCs w:val="19"/>
        </w:rPr>
      </w:pPr>
      <w:r>
        <w:rPr>
          <w:rFonts w:ascii="Tahoma" w:hAnsi="Tahoma" w:eastAsia="Tahoma" w:cs="Tahoma"/>
          <w:sz w:val="19"/>
          <w:szCs w:val="19"/>
        </w:rPr>
        <w:t>基于行销辅助品集中采购采购全流程场景进行演示。</w:t>
      </w:r>
    </w:p>
    <w:p>
      <w:pPr>
        <w:keepNext w:val="0"/>
        <w:keepLines w:val="0"/>
        <w:widowControl/>
        <w:numPr>
          <w:ilvl w:val="0"/>
          <w:numId w:val="8"/>
        </w:numPr>
        <w:suppressLineNumbers w:val="0"/>
        <w:jc w:val="left"/>
        <w:rPr>
          <w:rFonts w:hint="default" w:ascii="Tahoma" w:hAnsi="Tahoma" w:eastAsia="Tahoma" w:cs="Tahoma"/>
          <w:sz w:val="19"/>
          <w:szCs w:val="19"/>
          <w:lang w:eastAsia="zh-CN"/>
        </w:rPr>
      </w:pPr>
      <w:r>
        <w:rPr>
          <w:rFonts w:ascii="Tahoma" w:hAnsi="Tahoma" w:eastAsia="Tahoma" w:cs="Tahoma"/>
          <w:sz w:val="19"/>
          <w:szCs w:val="19"/>
        </w:rPr>
        <w:t>基层营业单位采购计划及需求填报-总部集采部门采购计划及需求汇总-集采供应商寻源（含供应商注册准入）-线上招投标流程（发标、收标、评标、定标）-供应商管理（合同台账）-品类池的建立-立项申请（商城物品的勾选跳转）-订单流转及匹配至对应合同。</w:t>
      </w:r>
    </w:p>
    <w:p>
      <w:pPr>
        <w:keepNext w:val="0"/>
        <w:keepLines w:val="0"/>
        <w:widowControl/>
        <w:numPr>
          <w:ilvl w:val="0"/>
          <w:numId w:val="8"/>
        </w:numPr>
        <w:suppressLineNumbers w:val="0"/>
        <w:jc w:val="left"/>
        <w:rPr>
          <w:rFonts w:hint="default" w:ascii="Tahoma" w:hAnsi="Tahoma" w:eastAsia="Tahoma" w:cs="Tahoma"/>
          <w:sz w:val="19"/>
          <w:szCs w:val="19"/>
          <w:lang w:eastAsia="zh-CN"/>
        </w:rPr>
      </w:pPr>
      <w:r>
        <w:rPr>
          <w:rFonts w:ascii="Tahoma" w:hAnsi="Tahoma" w:eastAsia="Tahoma" w:cs="Tahoma"/>
          <w:sz w:val="19"/>
          <w:szCs w:val="19"/>
        </w:rPr>
        <w:t>上述行销辅助品可由应标供应商自己编制类目，能充分体现系统流程性内容为主。</w:t>
      </w:r>
    </w:p>
    <w:p>
      <w:pPr>
        <w:keepNext w:val="0"/>
        <w:keepLines w:val="0"/>
        <w:widowControl/>
        <w:numPr>
          <w:ilvl w:val="0"/>
          <w:numId w:val="8"/>
        </w:numPr>
        <w:suppressLineNumbers w:val="0"/>
        <w:jc w:val="left"/>
        <w:rPr>
          <w:rFonts w:hint="default" w:ascii="Tahoma" w:hAnsi="Tahoma" w:eastAsia="Tahoma" w:cs="Tahoma"/>
          <w:sz w:val="19"/>
          <w:szCs w:val="19"/>
          <w:lang w:eastAsia="zh-CN"/>
        </w:rPr>
      </w:pPr>
      <w:r>
        <w:rPr>
          <w:rFonts w:ascii="Tahoma" w:hAnsi="Tahoma" w:eastAsia="Tahoma" w:cs="Tahoma"/>
          <w:sz w:val="19"/>
          <w:szCs w:val="19"/>
        </w:rPr>
        <w:t>采购系统的整体业务蓝图（预算-立项-采购-合同-报销支付全流程的打通）以及对应的分期建设规划、内容、原因、难点及解决方案等，并且需出具大致的时间及成本规划。</w:t>
      </w:r>
    </w:p>
    <w:p>
      <w:pPr>
        <w:keepNext w:val="0"/>
        <w:keepLines w:val="0"/>
        <w:widowControl/>
        <w:numPr>
          <w:ilvl w:val="0"/>
          <w:numId w:val="0"/>
        </w:numPr>
        <w:suppressLineNumbers w:val="0"/>
        <w:jc w:val="left"/>
        <w:rPr>
          <w:rFonts w:hint="default" w:ascii="Tahoma" w:hAnsi="Tahoma" w:eastAsia="Tahoma" w:cs="Tahoma"/>
          <w:sz w:val="19"/>
          <w:szCs w:val="19"/>
          <w:lang w:eastAsia="zh-CN"/>
        </w:rPr>
      </w:pPr>
      <w:r>
        <w:rPr>
          <w:rFonts w:ascii="Tahoma" w:hAnsi="Tahoma" w:eastAsia="Tahoma" w:cs="Tahoma"/>
          <w:sz w:val="19"/>
          <w:szCs w:val="19"/>
        </w:rPr>
        <w:t>5、项目人员构成：有线上招采项目实施经验的项目经理、亲自带领团队给金融保险特别是寿险业公司部署过采购管理系统，且完成过整体流程的拉通。</w:t>
      </w:r>
    </w:p>
    <w:p>
      <w:pPr>
        <w:pStyle w:val="4"/>
        <w:spacing w:line="360" w:lineRule="auto"/>
      </w:pPr>
      <w:r>
        <w:rPr>
          <w:rFonts w:hint="default"/>
        </w:rPr>
        <w:t>6</w:t>
      </w:r>
      <w:r>
        <w:rPr>
          <w:rFonts w:hint="eastAsia"/>
        </w:rPr>
        <w:t>、商务偏离表</w:t>
      </w:r>
      <w:bookmarkEnd w:id="34"/>
      <w:bookmarkEnd w:id="35"/>
    </w:p>
    <w:p>
      <w:pPr>
        <w:autoSpaceDE w:val="0"/>
        <w:autoSpaceDN w:val="0"/>
        <w:adjustRightInd w:val="0"/>
        <w:spacing w:line="500" w:lineRule="exact"/>
        <w:ind w:left="720" w:leftChars="343" w:firstLine="1552" w:firstLineChars="736"/>
        <w:rPr>
          <w:rFonts w:ascii="宋体" w:hAnsi="宋体"/>
          <w:b/>
          <w:bCs/>
          <w:szCs w:val="21"/>
        </w:rPr>
      </w:pPr>
      <w:r>
        <w:rPr>
          <w:rFonts w:ascii="宋体" w:hAnsi="宋体"/>
          <w:b/>
          <w:bCs/>
          <w:szCs w:val="21"/>
        </w:rPr>
        <w:t>商 务 条 款 偏 离 表</w:t>
      </w:r>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文件的商务条款</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ascii="宋体" w:hAnsi="宋体"/>
                <w:szCs w:val="21"/>
              </w:rPr>
              <w:t>商务条款</w:t>
            </w:r>
          </w:p>
        </w:tc>
        <w:tc>
          <w:tcPr>
            <w:tcW w:w="16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ind w:firstLine="422" w:firstLineChars="200"/>
              <w:jc w:val="left"/>
              <w:rPr>
                <w:rFonts w:asciiTheme="minorEastAsia" w:hAnsiTheme="minorEastAsia"/>
                <w:color w:val="FF0000"/>
              </w:rPr>
            </w:pPr>
            <w:r>
              <w:rPr>
                <w:rFonts w:hint="eastAsia" w:ascii="宋体" w:hAnsi="宋体"/>
                <w:b/>
                <w:szCs w:val="21"/>
              </w:rPr>
              <w:t>付款条件及周期：</w:t>
            </w:r>
            <w:r>
              <w:rPr>
                <w:rFonts w:hint="eastAsia" w:asciiTheme="minorEastAsia" w:hAnsiTheme="minorEastAsia"/>
                <w:color w:val="FF0000"/>
              </w:rPr>
              <w:t>1）本项目采购合同签订后，支付总价款的30%，于收到相应金额的增值税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ind w:firstLine="420" w:firstLineChars="200"/>
              <w:jc w:val="left"/>
              <w:rPr>
                <w:rFonts w:asciiTheme="minorEastAsia" w:hAnsiTheme="minorEastAsia"/>
                <w:color w:val="FF0000"/>
              </w:rPr>
            </w:pPr>
            <w:r>
              <w:rPr>
                <w:rFonts w:hint="eastAsia" w:asciiTheme="minorEastAsia" w:hAnsiTheme="minorEastAsia"/>
                <w:color w:val="FF0000"/>
              </w:rPr>
              <w:t>2）试运行三个月内进行验收，验收合格后，支付总价款的60%，于收到相应金额的增值税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ind w:firstLine="420" w:firstLineChars="200"/>
              <w:jc w:val="left"/>
              <w:rPr>
                <w:rFonts w:asciiTheme="minorEastAsia" w:hAnsiTheme="minorEastAsia"/>
                <w:color w:val="FF0000"/>
                <w:kern w:val="0"/>
              </w:rPr>
            </w:pPr>
            <w:r>
              <w:rPr>
                <w:rFonts w:hint="eastAsia" w:asciiTheme="minorEastAsia" w:hAnsiTheme="minorEastAsia"/>
                <w:color w:val="FF0000"/>
              </w:rPr>
              <w:t>3）维保服务期到期后，支付采购合同总价款的10 %，于收到相应金额的增值税</w:t>
            </w:r>
            <w:r>
              <w:rPr>
                <w:rFonts w:hint="default" w:asciiTheme="minorEastAsia" w:hAnsiTheme="minorEastAsia"/>
                <w:color w:val="FF0000"/>
              </w:rPr>
              <w:t>专用</w:t>
            </w:r>
            <w:r>
              <w:rPr>
                <w:rFonts w:hint="eastAsia" w:asciiTheme="minorEastAsia" w:hAnsiTheme="minorEastAsia"/>
                <w:color w:val="FF0000"/>
              </w:rPr>
              <w:t>发票后30个工作日内支付。</w:t>
            </w:r>
          </w:p>
          <w:p>
            <w:pPr>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hint="default" w:ascii="宋体" w:hAnsi="宋体"/>
                <w:b/>
                <w:szCs w:val="21"/>
              </w:rPr>
            </w:pPr>
            <w:r>
              <w:rPr>
                <w:rFonts w:hint="eastAsia" w:ascii="宋体" w:hAnsi="宋体"/>
                <w:b/>
                <w:szCs w:val="21"/>
              </w:rPr>
              <w:t>享有的服务</w:t>
            </w:r>
            <w:r>
              <w:rPr>
                <w:rFonts w:ascii="宋体" w:hAnsi="宋体"/>
                <w:b/>
                <w:szCs w:val="21"/>
              </w:rPr>
              <w:t xml:space="preserve">： </w:t>
            </w:r>
            <w:r>
              <w:rPr>
                <w:rFonts w:ascii="宋体" w:hAnsi="宋体"/>
                <w:b w:val="0"/>
                <w:bCs w:val="0"/>
                <w:szCs w:val="21"/>
              </w:rPr>
              <w:t>项目验收后需由供应商提供12个月（5*8小时）免费维护服务，免费维护服务期限已验收报告确认之日起算，供应商在免维期内对涉及的所有软件提供免费的技术咨询</w:t>
            </w:r>
          </w:p>
        </w:tc>
        <w:tc>
          <w:tcPr>
            <w:tcW w:w="1709" w:type="dxa"/>
          </w:tcPr>
          <w:p>
            <w:pPr>
              <w:spacing w:line="380" w:lineRule="exact"/>
              <w:rPr>
                <w:rFonts w:hint="default" w:ascii="宋体" w:hAnsi="宋体"/>
                <w:b/>
                <w:szCs w:val="21"/>
              </w:rPr>
            </w:pPr>
          </w:p>
        </w:tc>
        <w:tc>
          <w:tcPr>
            <w:tcW w:w="1632"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hint="eastAsia" w:ascii="宋体" w:hAnsi="宋体"/>
                <w:b/>
                <w:szCs w:val="21"/>
              </w:rPr>
              <w:t>3</w:t>
            </w:r>
          </w:p>
        </w:tc>
        <w:tc>
          <w:tcPr>
            <w:tcW w:w="5432" w:type="dxa"/>
          </w:tcPr>
          <w:p>
            <w:pPr>
              <w:pStyle w:val="21"/>
              <w:rPr>
                <w:rFonts w:hint="default"/>
              </w:rPr>
            </w:pPr>
            <w:r>
              <w:rPr>
                <w:b w:val="0"/>
                <w:bCs w:val="0"/>
              </w:rPr>
              <w:t>供应商免费为甲方提供必要的使用培训，指导甲方使用人员能够完全熟练的操作本系统，并能够进行一般性的维护。培训时间及内容根据甲方的要求确定</w:t>
            </w:r>
          </w:p>
        </w:tc>
        <w:tc>
          <w:tcPr>
            <w:tcW w:w="1709" w:type="dxa"/>
          </w:tcPr>
          <w:p>
            <w:pPr>
              <w:pStyle w:val="21"/>
            </w:pPr>
          </w:p>
        </w:tc>
        <w:tc>
          <w:tcPr>
            <w:tcW w:w="1632" w:type="dxa"/>
          </w:tcPr>
          <w:p>
            <w:pPr>
              <w:pStyle w:val="21"/>
            </w:pPr>
          </w:p>
        </w:tc>
      </w:tr>
    </w:tbl>
    <w:p>
      <w:pPr>
        <w:pStyle w:val="17"/>
        <w:spacing w:line="500" w:lineRule="exact"/>
        <w:ind w:left="5250" w:right="-168" w:rightChars="-80"/>
        <w:rPr>
          <w:b/>
          <w:color w:val="auto"/>
        </w:rPr>
      </w:pPr>
    </w:p>
    <w:p>
      <w:pPr>
        <w:pStyle w:val="17"/>
        <w:spacing w:line="500" w:lineRule="exact"/>
        <w:ind w:left="99" w:leftChars="47" w:right="-168" w:rightChars="-80"/>
        <w:rPr>
          <w:color w:val="auto"/>
        </w:rPr>
      </w:pPr>
      <w:r>
        <w:rPr>
          <w:rFonts w:hint="eastAsia"/>
          <w:color w:val="auto"/>
        </w:rPr>
        <w:t>注：</w:t>
      </w:r>
    </w:p>
    <w:p>
      <w:pPr>
        <w:pStyle w:val="17"/>
        <w:adjustRightInd w:val="0"/>
        <w:snapToGrid w:val="0"/>
        <w:spacing w:line="460" w:lineRule="exact"/>
        <w:ind w:left="99" w:leftChars="47" w:firstLine="420" w:firstLineChars="200"/>
        <w:rPr>
          <w:color w:val="auto"/>
        </w:rPr>
      </w:pPr>
      <w:r>
        <w:rPr>
          <w:rFonts w:hint="eastAsia"/>
          <w:color w:val="auto"/>
        </w:rPr>
        <w:t>1、在本表中，需对谈判文件的全部商务条款做出响应，而不仅仅是对偏离项的响应。</w:t>
      </w:r>
    </w:p>
    <w:p>
      <w:pPr>
        <w:pStyle w:val="17"/>
        <w:adjustRightInd w:val="0"/>
        <w:snapToGrid w:val="0"/>
        <w:spacing w:line="460" w:lineRule="exact"/>
        <w:ind w:left="99" w:leftChars="47" w:firstLine="420" w:firstLineChars="200"/>
      </w:pPr>
      <w:r>
        <w:rPr>
          <w:rFonts w:hint="eastAsia"/>
          <w:color w:val="auto"/>
        </w:rPr>
        <w:t>2、在本表中，与“谈判文件的商务条款”栏比较，如无偏离，“响应文件的商务条款”栏可具体填写响应内容或“同意”、“接受”等字样，如有偏离，则必须填写具体的偏离内容。</w:t>
      </w:r>
      <w:r>
        <w:rPr>
          <w:color w:val="auto"/>
        </w:rPr>
        <w:t xml:space="preserve"> </w:t>
      </w:r>
    </w:p>
    <w:p>
      <w:pPr>
        <w:pStyle w:val="4"/>
        <w:spacing w:line="360" w:lineRule="auto"/>
      </w:pPr>
      <w:bookmarkStart w:id="36" w:name="_Toc26351169"/>
      <w:bookmarkStart w:id="37" w:name="_Toc535921102"/>
      <w:r>
        <w:t>7、技术偏离表</w:t>
      </w:r>
      <w:bookmarkEnd w:id="36"/>
      <w:bookmarkEnd w:id="37"/>
    </w:p>
    <w:p>
      <w:pPr>
        <w:pStyle w:val="5"/>
        <w:bidi w:val="0"/>
        <w:ind w:left="0" w:leftChars="0" w:firstLine="0" w:firstLineChars="0"/>
        <w:jc w:val="left"/>
        <w:rPr>
          <w:rFonts w:ascii="宋体" w:hAnsi="宋体"/>
          <w:b/>
          <w:bCs/>
        </w:rPr>
      </w:pPr>
      <w:r>
        <w:rPr>
          <w:b/>
          <w:bCs/>
        </w:rPr>
        <w:t>7</w:t>
      </w:r>
      <w:r>
        <w:rPr>
          <w:rFonts w:ascii="宋体" w:hAnsi="宋体"/>
          <w:b/>
          <w:bCs/>
        </w:rPr>
        <w:t>.1技术要求</w:t>
      </w:r>
    </w:p>
    <w:p>
      <w:pPr>
        <w:pStyle w:val="8"/>
        <w:ind w:left="0" w:leftChars="0" w:firstLine="0" w:firstLineChars="0"/>
        <w:rPr>
          <w:rFonts w:ascii="宋体" w:hAnsi="宋体"/>
          <w:b/>
        </w:rPr>
      </w:pPr>
      <w:r>
        <w:rPr>
          <w:rFonts w:ascii="宋体" w:hAnsi="宋体"/>
          <w:b w:val="0"/>
          <w:bCs w:val="0"/>
        </w:rPr>
        <w:t xml:space="preserve">  本项目下所有系统原则上定制化开发部分需源码交付，代码版权所属归民生保险</w:t>
      </w:r>
      <w:r>
        <w:rPr>
          <w:rFonts w:ascii="宋体" w:hAnsi="宋体"/>
          <w:b/>
        </w:rPr>
        <w:t>。</w:t>
      </w:r>
    </w:p>
    <w:p>
      <w:pPr>
        <w:pStyle w:val="8"/>
        <w:ind w:left="0" w:leftChars="0" w:firstLine="0" w:firstLineChars="0"/>
        <w:rPr>
          <w:rFonts w:ascii="宋体" w:hAnsi="宋体"/>
          <w:b w:val="0"/>
          <w:bCs w:val="0"/>
        </w:rPr>
      </w:pPr>
      <w:r>
        <w:rPr>
          <w:rFonts w:ascii="宋体" w:hAnsi="宋体"/>
          <w:b w:val="0"/>
          <w:bCs w:val="0"/>
        </w:rPr>
        <w:t>实施必须基于本地私有云信创软硬件</w:t>
      </w:r>
    </w:p>
    <w:p>
      <w:pPr>
        <w:autoSpaceDE w:val="0"/>
        <w:autoSpaceDN w:val="0"/>
        <w:adjustRightInd w:val="0"/>
        <w:spacing w:line="500" w:lineRule="exact"/>
        <w:ind w:firstLine="2977" w:firstLineChars="1412"/>
        <w:rPr>
          <w:rFonts w:ascii="宋体" w:hAnsi="宋体"/>
          <w:b/>
          <w:bCs/>
          <w:szCs w:val="21"/>
        </w:rPr>
      </w:pPr>
      <w:r>
        <w:rPr>
          <w:rFonts w:hint="eastAsia" w:ascii="宋体" w:hAnsi="宋体"/>
          <w:b/>
          <w:bCs/>
          <w:szCs w:val="21"/>
        </w:rPr>
        <w:t>技术要求</w:t>
      </w:r>
      <w:r>
        <w:rPr>
          <w:rFonts w:ascii="宋体" w:hAnsi="宋体"/>
          <w:b/>
          <w:bCs/>
          <w:szCs w:val="21"/>
        </w:rPr>
        <w:t>偏离表</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w:t>
            </w:r>
            <w:r>
              <w:rPr>
                <w:rFonts w:hint="eastAsia" w:ascii="宋体" w:hAnsi="宋体"/>
                <w:szCs w:val="21"/>
              </w:rPr>
              <w:t>技术要求</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hint="eastAsia" w:ascii="宋体" w:hAnsi="宋体"/>
                <w:szCs w:val="21"/>
              </w:rPr>
              <w:t>技术方案</w:t>
            </w:r>
          </w:p>
        </w:tc>
        <w:tc>
          <w:tcPr>
            <w:tcW w:w="1243"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pStyle w:val="6"/>
              <w:bidi w:val="0"/>
              <w:ind w:left="0" w:leftChars="0" w:firstLine="0" w:firstLineChars="0"/>
              <w:rPr>
                <w:rFonts w:hint="eastAsia" w:ascii="宋体" w:hAnsi="宋体" w:eastAsia="宋体"/>
                <w:sz w:val="20"/>
                <w:szCs w:val="20"/>
              </w:rPr>
            </w:pPr>
            <w:r>
              <w:rPr>
                <w:rFonts w:hint="eastAsia" w:ascii="宋体" w:hAnsi="宋体" w:eastAsia="宋体"/>
                <w:sz w:val="20"/>
                <w:szCs w:val="20"/>
              </w:rPr>
              <w:t>系统技术栈要求：</w:t>
            </w:r>
          </w:p>
          <w:p>
            <w:pPr>
              <w:pStyle w:val="8"/>
              <w:numPr>
                <w:ilvl w:val="0"/>
                <w:numId w:val="0"/>
              </w:numPr>
              <w:ind w:leftChars="0"/>
              <w:rPr>
                <w:rFonts w:ascii="宋体" w:hAnsi="宋体"/>
                <w:b w:val="0"/>
                <w:bCs w:val="0"/>
              </w:rPr>
            </w:pPr>
            <w:r>
              <w:rPr>
                <w:rFonts w:ascii="宋体" w:hAnsi="宋体"/>
                <w:b w:val="0"/>
                <w:bCs w:val="0"/>
              </w:rPr>
              <w:t>（1）客户端</w:t>
            </w:r>
          </w:p>
          <w:p>
            <w:pPr>
              <w:pStyle w:val="8"/>
              <w:numPr>
                <w:ilvl w:val="0"/>
                <w:numId w:val="0"/>
              </w:numPr>
              <w:ind w:left="0" w:leftChars="0" w:firstLine="0" w:firstLineChars="0"/>
              <w:rPr>
                <w:rFonts w:ascii="宋体" w:hAnsi="宋体"/>
                <w:b w:val="0"/>
                <w:bCs w:val="0"/>
              </w:rPr>
            </w:pPr>
            <w:r>
              <w:rPr>
                <w:rFonts w:ascii="宋体" w:hAnsi="宋体"/>
                <w:b w:val="0"/>
                <w:bCs w:val="0"/>
              </w:rPr>
              <w:t xml:space="preserve">  客户端支持PC端奇安信可信浏览器（民生人寿专用版V1.0）、360安全浏览器（V10.4）、UOS浏览器，且兼容市场主流非信创浏览器，如谷歌、火狐等。</w:t>
            </w:r>
          </w:p>
          <w:p>
            <w:pPr>
              <w:pStyle w:val="8"/>
              <w:numPr>
                <w:ilvl w:val="0"/>
                <w:numId w:val="0"/>
              </w:numPr>
              <w:ind w:left="0" w:leftChars="0" w:firstLine="0" w:firstLineChars="0"/>
              <w:rPr>
                <w:rFonts w:ascii="宋体" w:hAnsi="宋体"/>
                <w:b w:val="0"/>
                <w:bCs w:val="0"/>
              </w:rPr>
            </w:pPr>
            <w:r>
              <w:rPr>
                <w:rFonts w:ascii="宋体" w:hAnsi="宋体"/>
                <w:b w:val="0"/>
                <w:bCs w:val="0"/>
              </w:rPr>
              <w:t>（2）技术架构</w:t>
            </w:r>
          </w:p>
          <w:p>
            <w:pPr>
              <w:pStyle w:val="8"/>
              <w:numPr>
                <w:ilvl w:val="0"/>
                <w:numId w:val="0"/>
              </w:numPr>
              <w:ind w:left="0" w:leftChars="0" w:firstLine="0" w:firstLineChars="0"/>
              <w:rPr>
                <w:rFonts w:ascii="宋体" w:hAnsi="宋体"/>
                <w:b w:val="0"/>
                <w:bCs w:val="0"/>
              </w:rPr>
            </w:pPr>
            <w:r>
              <w:rPr>
                <w:rFonts w:ascii="宋体" w:hAnsi="宋体"/>
                <w:b w:val="0"/>
                <w:bCs w:val="0"/>
              </w:rPr>
              <w:t>与业务需求、流程、功能相关的部分采用java开发语言，优先采用SpringBoot、SpringCloud等技术架构，支持OpenJDK 1.8及以上版本；与业务需求、流程、功能无关的、封装的公共服务或底层技术组件可采用非java语言开发。</w:t>
            </w:r>
          </w:p>
          <w:p>
            <w:pPr>
              <w:pStyle w:val="8"/>
              <w:numPr>
                <w:ilvl w:val="0"/>
                <w:numId w:val="0"/>
              </w:numPr>
              <w:ind w:left="0" w:leftChars="0" w:firstLine="0" w:firstLineChars="0"/>
              <w:rPr>
                <w:rFonts w:ascii="宋体" w:hAnsi="宋体"/>
                <w:b w:val="0"/>
                <w:bCs w:val="0"/>
              </w:rPr>
            </w:pPr>
            <w:r>
              <w:rPr>
                <w:rFonts w:ascii="宋体" w:hAnsi="宋体"/>
                <w:b w:val="0"/>
                <w:bCs w:val="0"/>
              </w:rPr>
              <w:t>系统须支持通过RESTful/WebService同步API或异步消息的方式、HTTP/HTTPS等协议及JSON/XML报文与其他应用系统进行集成；</w:t>
            </w:r>
          </w:p>
          <w:p>
            <w:pPr>
              <w:pStyle w:val="8"/>
              <w:numPr>
                <w:ilvl w:val="0"/>
                <w:numId w:val="0"/>
              </w:numPr>
              <w:ind w:leftChars="0"/>
              <w:rPr>
                <w:rFonts w:hint="default" w:ascii="宋体" w:hAnsi="宋体"/>
                <w:b w:val="0"/>
                <w:bCs w:val="0"/>
              </w:rPr>
            </w:pPr>
            <w:r>
              <w:rPr>
                <w:rFonts w:hint="default" w:ascii="宋体" w:hAnsi="宋体"/>
                <w:b w:val="0"/>
                <w:bCs w:val="0"/>
              </w:rPr>
              <w:t>（3）基础架构</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数据库：基于腾讯TDSQL;</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中间件：东方通V7;</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操作系统：银河麒麟服务器版V10</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服务器：应适配ARM虚拟化架构，应用服务优先采用docker容器化部署。</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文件存储：标准S3</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 xml:space="preserve">缓存插件：腾讯云键值缓存CRS服务软件系统Redis </w:t>
            </w:r>
          </w:p>
          <w:p>
            <w:pPr>
              <w:rPr>
                <w:rFonts w:ascii="宋体" w:hAnsi="宋体"/>
                <w:b/>
                <w:szCs w:val="21"/>
              </w:rPr>
            </w:pPr>
          </w:p>
        </w:tc>
        <w:tc>
          <w:tcPr>
            <w:tcW w:w="1709" w:type="dxa"/>
          </w:tcPr>
          <w:p>
            <w:pPr>
              <w:spacing w:line="400" w:lineRule="exact"/>
              <w:rPr>
                <w:rFonts w:ascii="宋体" w:hAnsi="宋体"/>
                <w:b/>
                <w:szCs w:val="21"/>
              </w:rPr>
            </w:pPr>
          </w:p>
        </w:tc>
        <w:tc>
          <w:tcPr>
            <w:tcW w:w="1243"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pStyle w:val="6"/>
              <w:numPr>
                <w:ilvl w:val="0"/>
                <w:numId w:val="0"/>
              </w:numPr>
              <w:bidi w:val="0"/>
              <w:ind w:left="0" w:leftChars="0" w:firstLine="0" w:firstLineChars="0"/>
              <w:rPr>
                <w:rFonts w:hint="default" w:ascii="宋体" w:hAnsi="宋体"/>
                <w:sz w:val="20"/>
                <w:szCs w:val="20"/>
              </w:rPr>
            </w:pPr>
            <w:r>
              <w:rPr>
                <w:rFonts w:hint="eastAsia" w:ascii="华文仿宋" w:hAnsi="华文仿宋" w:eastAsia="华文仿宋" w:cs="华文仿宋"/>
                <w:sz w:val="20"/>
                <w:szCs w:val="20"/>
              </w:rPr>
              <w:t>安全要求:</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1）系统应满足公司系统安全控制要求及安全控制制度更新方面的要求，完全遵守公司关于信息系统安全控制方面的所有制度要求。整个开发周期符合代码编写规范，需在系统上线前检查各类漏洞及系统薄弱点，进行漏洞扫描。</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（2）具有安全研发能力和安全技术能力，能够需配合公司开展安排的开源组件漏洞升级、渗透测试漏洞修复、代码安全扫描高危缺陷修复等，就安全检查识别出的漏洞加以修订解决。</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（3）系统组件支持WEB接入（跳转）层、程序处理层、数据层三层架构部署；</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（4）能对应用程序部署及应用启停采用服务器操作系统的非root账号进行部署，应用程序访问数据库采用数据库非超级管理员权限的账号。操作系统账号及数据库内账号能够满足公司要求的权限最小化原则；</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（5）本系统属于重要系统，用户密码安全策略需满足公司用户密码安全要求；</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（6）系统必须具备页面访问安全性、数据访问安全性、日志记录安全性、外部数据交换加密、防攻击、防病毒等方案；</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（7）系统开发必须遵循WEB安全相关开发要求，提供常见应用安全漏洞的防护功能，漏洞包含但XSS、SQL注入、缓冲溢出、跨站、钓鱼、文件上传等应用级别漏洞；</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（8）能够采用非秘密机制对重要存储数据完整性进行保护，检测或预防数据单元跳变等随机或无意的数据完整性错误，如：奇偶校验、计算校验和（如CRC等）、单向散列（Hash）；</w:t>
            </w:r>
          </w:p>
          <w:p>
            <w:pPr>
              <w:pStyle w:val="8"/>
              <w:numPr>
                <w:ilvl w:val="0"/>
                <w:numId w:val="0"/>
              </w:numPr>
              <w:ind w:left="0" w:leftChars="0" w:firstLine="0" w:firstLineChars="0"/>
              <w:rPr>
                <w:rFonts w:ascii="宋体" w:hAnsi="宋体"/>
                <w:b/>
                <w:szCs w:val="21"/>
              </w:rPr>
            </w:pPr>
            <w:r>
              <w:rPr>
                <w:rFonts w:hint="default" w:ascii="宋体" w:hAnsi="宋体"/>
                <w:b w:val="0"/>
                <w:bCs w:val="0"/>
              </w:rPr>
              <w:t>（9）能够采用对称密码技术对传输的所有数据进行机密性保护。</w:t>
            </w:r>
          </w:p>
        </w:tc>
        <w:tc>
          <w:tcPr>
            <w:tcW w:w="1709" w:type="dxa"/>
          </w:tcPr>
          <w:p>
            <w:pPr>
              <w:spacing w:line="380" w:lineRule="exact"/>
              <w:rPr>
                <w:rFonts w:ascii="宋体" w:hAnsi="宋体"/>
                <w:b/>
                <w:szCs w:val="21"/>
              </w:rPr>
            </w:pPr>
          </w:p>
        </w:tc>
        <w:tc>
          <w:tcPr>
            <w:tcW w:w="1243"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ascii="宋体" w:hAnsi="宋体"/>
                <w:b/>
                <w:szCs w:val="21"/>
              </w:rPr>
              <w:t>3</w:t>
            </w:r>
          </w:p>
        </w:tc>
        <w:tc>
          <w:tcPr>
            <w:tcW w:w="5432" w:type="dxa"/>
          </w:tcPr>
          <w:p>
            <w:pPr>
              <w:pStyle w:val="6"/>
              <w:numPr>
                <w:ilvl w:val="0"/>
                <w:numId w:val="0"/>
              </w:numPr>
              <w:bidi w:val="0"/>
              <w:ind w:left="0" w:leftChars="0" w:firstLine="0" w:firstLineChars="0"/>
              <w:rPr>
                <w:rFonts w:hint="eastAsia" w:ascii="华文仿宋" w:hAnsi="华文仿宋" w:eastAsia="华文仿宋" w:cs="华文仿宋"/>
                <w:sz w:val="20"/>
                <w:szCs w:val="20"/>
              </w:rPr>
            </w:pPr>
            <w:r>
              <w:rPr>
                <w:rFonts w:hint="eastAsia" w:ascii="华文仿宋" w:hAnsi="华文仿宋" w:eastAsia="华文仿宋" w:cs="华文仿宋"/>
                <w:sz w:val="20"/>
                <w:szCs w:val="20"/>
              </w:rPr>
              <w:t>性能要求</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（1）整体性能要求：系统中的各个组件可通过横向扩展实现容量及性能的线性增长，而不必对应用程序进行修改。</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（2）数据处理时效：数据加载等涉及大批量、高并发数据处理时，基于行业标准在提供充足系统运行所需硬件及网络条件下，系统能高效处理采购流程数据。</w:t>
            </w:r>
          </w:p>
          <w:p>
            <w:pPr>
              <w:pStyle w:val="8"/>
              <w:numPr>
                <w:ilvl w:val="0"/>
                <w:numId w:val="0"/>
              </w:numPr>
              <w:ind w:left="0" w:leftChars="0" w:firstLine="0" w:firstLineChars="0"/>
            </w:pPr>
            <w:r>
              <w:rPr>
                <w:rFonts w:hint="default" w:ascii="宋体" w:hAnsi="宋体"/>
                <w:b w:val="0"/>
                <w:bCs w:val="0"/>
              </w:rPr>
              <w:t>（3）页面返回时效：相关的页面查询和配置类功能，需要充分考虑到用户体验，一般情况下，页面查询后返回时间不能超过5秒。</w:t>
            </w:r>
          </w:p>
        </w:tc>
        <w:tc>
          <w:tcPr>
            <w:tcW w:w="1709" w:type="dxa"/>
          </w:tcPr>
          <w:p>
            <w:pPr>
              <w:pStyle w:val="21"/>
            </w:pPr>
          </w:p>
        </w:tc>
        <w:tc>
          <w:tcPr>
            <w:tcW w:w="1243" w:type="dxa"/>
          </w:tcPr>
          <w:p>
            <w:pPr>
              <w:pStyle w:val="2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vAlign w:val="center"/>
          </w:tcPr>
          <w:p>
            <w:pPr>
              <w:spacing w:line="380" w:lineRule="exact"/>
              <w:jc w:val="center"/>
              <w:rPr>
                <w:rFonts w:hint="default" w:ascii="宋体" w:hAnsi="宋体"/>
                <w:b/>
                <w:szCs w:val="21"/>
              </w:rPr>
            </w:pPr>
            <w:r>
              <w:rPr>
                <w:rFonts w:ascii="宋体" w:hAnsi="宋体"/>
                <w:b/>
                <w:szCs w:val="21"/>
              </w:rPr>
              <w:t>4</w:t>
            </w:r>
          </w:p>
        </w:tc>
        <w:tc>
          <w:tcPr>
            <w:tcW w:w="5432" w:type="dxa"/>
          </w:tcPr>
          <w:p>
            <w:pPr>
              <w:pStyle w:val="6"/>
              <w:numPr>
                <w:ilvl w:val="0"/>
                <w:numId w:val="0"/>
              </w:numPr>
              <w:bidi w:val="0"/>
              <w:ind w:left="0" w:leftChars="0" w:firstLine="0" w:firstLineChars="0"/>
              <w:rPr>
                <w:rFonts w:hint="eastAsia" w:ascii="华文仿宋" w:hAnsi="华文仿宋" w:eastAsia="华文仿宋" w:cs="华文仿宋"/>
                <w:sz w:val="20"/>
                <w:szCs w:val="20"/>
              </w:rPr>
            </w:pPr>
            <w:r>
              <w:rPr>
                <w:rFonts w:hint="eastAsia" w:ascii="华文仿宋" w:hAnsi="华文仿宋" w:eastAsia="华文仿宋" w:cs="华文仿宋"/>
                <w:sz w:val="20"/>
                <w:szCs w:val="20"/>
              </w:rPr>
              <w:t>系统设计要求</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（1）实施商应向采购人提供完整的软件及系统交付，并保证本系统（含软硬件）与各关联系统的互连互通及正常运行。</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 xml:space="preserve">（2）软件要求层次化、模块化，做到层次清晰，模块合理；对其中的模块可灵活抽取替换，模块与模块之间关系明确；标准化各模块间的接口，减少处理瓶颈和存储瓶颈；要方便业务的扩展和新增。 </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（3）软件设计应实现应用服务器与数据库服务器的分离，在线事务和批处理事务的分离。</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（4）软件设计应能够支持基于负载均衡设备下的分布运行模式。</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（5）应考虑对数据库操作的封装，提供统一的数据库操作接口，避免由于数据库操作方式不一致造成系统性能下降。</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（6）参数设置要灵活、全面，在使用过程中可联机调整参数，并能限定参数的作用时限。</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（7）软件结构应具备扩充能力，在设计中充分考虑未来服务功能的增加，具有新服务功能的扩展接口。</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（8）通信模块与业务功能模块具有相对的独立性，对通信模块的修改不影响业务功能的运行。</w:t>
            </w:r>
          </w:p>
          <w:p>
            <w:pPr>
              <w:pStyle w:val="8"/>
              <w:numPr>
                <w:ilvl w:val="0"/>
                <w:numId w:val="0"/>
              </w:numPr>
              <w:ind w:left="0" w:leftChars="0" w:firstLine="0" w:firstLineChars="0"/>
              <w:rPr>
                <w:rFonts w:hint="default" w:ascii="宋体" w:hAnsi="宋体"/>
                <w:b w:val="0"/>
                <w:bCs w:val="0"/>
              </w:rPr>
            </w:pPr>
            <w:r>
              <w:rPr>
                <w:rFonts w:hint="default" w:ascii="宋体" w:hAnsi="宋体"/>
                <w:b w:val="0"/>
                <w:bCs w:val="0"/>
              </w:rPr>
              <w:t>（9）实施商提供的软件除满足基本的功能和性能要求外，要具有一定的业务前瞻性、技术前瞻性和良好的二次开发功能。</w:t>
            </w:r>
          </w:p>
          <w:p>
            <w:pPr>
              <w:pStyle w:val="21"/>
            </w:pPr>
          </w:p>
        </w:tc>
        <w:tc>
          <w:tcPr>
            <w:tcW w:w="1709" w:type="dxa"/>
          </w:tcPr>
          <w:p>
            <w:pPr>
              <w:pStyle w:val="21"/>
            </w:pPr>
          </w:p>
        </w:tc>
        <w:tc>
          <w:tcPr>
            <w:tcW w:w="1243" w:type="dxa"/>
          </w:tcPr>
          <w:p>
            <w:pPr>
              <w:pStyle w:val="21"/>
            </w:pPr>
          </w:p>
        </w:tc>
      </w:tr>
    </w:tbl>
    <w:p>
      <w:pPr>
        <w:pStyle w:val="17"/>
        <w:spacing w:line="500" w:lineRule="exact"/>
        <w:ind w:left="99" w:leftChars="47" w:right="-168" w:rightChars="-80"/>
        <w:rPr>
          <w:color w:val="auto"/>
        </w:rPr>
      </w:pPr>
      <w:r>
        <w:rPr>
          <w:rFonts w:hint="eastAsia"/>
          <w:color w:val="auto"/>
        </w:rPr>
        <w:t>注：</w:t>
      </w:r>
    </w:p>
    <w:p>
      <w:pPr>
        <w:pStyle w:val="17"/>
        <w:adjustRightInd w:val="0"/>
        <w:snapToGrid w:val="0"/>
        <w:spacing w:line="460" w:lineRule="exact"/>
        <w:ind w:left="99" w:leftChars="47" w:firstLine="420" w:firstLineChars="200"/>
        <w:rPr>
          <w:color w:val="auto"/>
        </w:rPr>
      </w:pPr>
      <w:r>
        <w:rPr>
          <w:rFonts w:hint="eastAsia"/>
          <w:color w:val="auto"/>
        </w:rPr>
        <w:t>1、在本表中，需对谈判文件的技术要求全部做出响应，而不仅仅是对偏离项的响应。</w:t>
      </w:r>
    </w:p>
    <w:p>
      <w:pPr>
        <w:pStyle w:val="17"/>
        <w:adjustRightInd w:val="0"/>
        <w:snapToGrid w:val="0"/>
        <w:spacing w:line="460" w:lineRule="exact"/>
        <w:ind w:left="834" w:leftChars="247" w:hanging="315" w:hangingChars="150"/>
        <w:rPr>
          <w:color w:val="auto"/>
        </w:rPr>
      </w:pPr>
      <w:r>
        <w:rPr>
          <w:rFonts w:hint="eastAsia"/>
          <w:color w:val="auto"/>
        </w:rPr>
        <w:t>2、在本表中，与“谈判文件的技术要求”栏比较，如无偏离，“响应文件的技术方案”栏可具体填写响应内容或“同意”、“接受”等字样，如有偏离，则必须填写具体的偏离内容。</w:t>
      </w:r>
      <w:r>
        <w:rPr>
          <w:color w:val="auto"/>
        </w:rPr>
        <w:t xml:space="preserve"> </w:t>
      </w:r>
    </w:p>
    <w:p>
      <w:pPr>
        <w:pStyle w:val="17"/>
        <w:adjustRightInd w:val="0"/>
        <w:snapToGrid w:val="0"/>
        <w:spacing w:line="460" w:lineRule="exact"/>
        <w:ind w:left="834" w:leftChars="247" w:hanging="315" w:hangingChars="150"/>
        <w:rPr>
          <w:color w:val="auto"/>
        </w:rPr>
      </w:pPr>
      <w:r>
        <w:rPr>
          <w:rFonts w:hint="eastAsia"/>
          <w:color w:val="auto"/>
        </w:rPr>
        <w:t>3、对于技术要求(包括其他部分的内容)，如有偏离或替代方案的，也要求增列入此表，否则表示投标人完全接受，对投标人有约束力。</w:t>
      </w:r>
    </w:p>
    <w:p>
      <w:pPr>
        <w:pStyle w:val="8"/>
      </w:pPr>
    </w:p>
    <w:p>
      <w:pPr>
        <w:pStyle w:val="4"/>
        <w:spacing w:line="360" w:lineRule="auto"/>
        <w:rPr>
          <w:b w:val="0"/>
          <w:bCs w:val="0"/>
        </w:rPr>
      </w:pPr>
      <w:bookmarkStart w:id="38" w:name="_Toc26351170"/>
      <w:bookmarkStart w:id="39" w:name="_Toc535921103"/>
      <w:r>
        <w:rPr>
          <w:rFonts w:hint="default"/>
        </w:rPr>
        <w:t>8</w:t>
      </w:r>
      <w:r>
        <w:rPr>
          <w:rFonts w:hint="eastAsia"/>
        </w:rPr>
        <w:t>、资格预审文件</w:t>
      </w:r>
      <w:bookmarkEnd w:id="38"/>
      <w:bookmarkEnd w:id="39"/>
      <w:r>
        <w:rPr>
          <w:rFonts w:hint="eastAsia"/>
        </w:rPr>
        <w:t xml:space="preserve"> </w:t>
      </w:r>
      <w:r>
        <w:rPr>
          <w:rFonts w:hint="eastAsia"/>
          <w:color w:val="FF0000"/>
          <w:sz w:val="24"/>
        </w:rPr>
        <w:t>须唯一且单独封装</w:t>
      </w:r>
    </w:p>
    <w:p>
      <w:pPr>
        <w:numPr>
          <w:ilvl w:val="0"/>
          <w:numId w:val="9"/>
        </w:numPr>
        <w:tabs>
          <w:tab w:val="left" w:pos="900"/>
          <w:tab w:val="clear" w:pos="1142"/>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pPr>
        <w:numPr>
          <w:ilvl w:val="0"/>
          <w:numId w:val="9"/>
        </w:numPr>
        <w:tabs>
          <w:tab w:val="left" w:pos="900"/>
          <w:tab w:val="clear" w:pos="1142"/>
        </w:tabs>
        <w:spacing w:line="360" w:lineRule="auto"/>
        <w:ind w:left="900" w:hanging="540"/>
        <w:rPr>
          <w:rFonts w:ascii="宋体" w:hAnsi="宋体"/>
        </w:rPr>
      </w:pPr>
      <w:r>
        <w:rPr>
          <w:rFonts w:hint="eastAsia" w:ascii="宋体" w:hAnsi="宋体"/>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章方式盖章）</w:t>
      </w:r>
    </w:p>
    <w:p>
      <w:pPr>
        <w:numPr>
          <w:ilvl w:val="0"/>
          <w:numId w:val="9"/>
        </w:numPr>
        <w:tabs>
          <w:tab w:val="left" w:pos="900"/>
          <w:tab w:val="clear" w:pos="1142"/>
        </w:tabs>
        <w:spacing w:line="360" w:lineRule="auto"/>
        <w:ind w:left="900" w:hanging="540"/>
        <w:rPr>
          <w:rFonts w:ascii="宋体" w:hAnsi="宋体"/>
        </w:rPr>
      </w:pPr>
      <w:r>
        <w:rPr>
          <w:rFonts w:hint="eastAsia" w:ascii="宋体" w:hAnsi="宋体"/>
        </w:rPr>
        <w:t>无法提供的文件应提供情况说明并加盖公章，否则视为无该部分内容；</w:t>
      </w:r>
    </w:p>
    <w:p>
      <w:pPr>
        <w:numPr>
          <w:ilvl w:val="0"/>
          <w:numId w:val="9"/>
        </w:numPr>
        <w:tabs>
          <w:tab w:val="left" w:pos="900"/>
          <w:tab w:val="clear" w:pos="1142"/>
        </w:tabs>
        <w:spacing w:line="360" w:lineRule="auto"/>
        <w:ind w:left="900" w:hanging="540"/>
        <w:rPr>
          <w:rFonts w:ascii="宋体" w:hAnsi="宋体"/>
        </w:rPr>
      </w:pPr>
      <w:r>
        <w:rPr>
          <w:rFonts w:hint="eastAsia" w:ascii="宋体" w:hAnsi="宋体"/>
        </w:rPr>
        <w:t>需提交文件一览表：</w:t>
      </w:r>
    </w:p>
    <w:p>
      <w:pPr>
        <w:pStyle w:val="8"/>
      </w:pPr>
    </w:p>
    <w:tbl>
      <w:tblPr>
        <w:tblStyle w:val="28"/>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6"/>
        <w:gridCol w:w="8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b/>
                <w:bCs/>
              </w:rPr>
            </w:pPr>
            <w:r>
              <w:rPr>
                <w:rFonts w:hint="eastAsia" w:ascii="宋体" w:hAnsi="宋体"/>
                <w:b/>
                <w:bCs/>
              </w:rPr>
              <w:t>序号</w:t>
            </w:r>
          </w:p>
        </w:tc>
        <w:tc>
          <w:tcPr>
            <w:tcW w:w="8678" w:type="dxa"/>
            <w:vAlign w:val="center"/>
          </w:tcPr>
          <w:p>
            <w:pPr>
              <w:spacing w:line="360" w:lineRule="auto"/>
              <w:ind w:firstLine="211" w:firstLineChars="100"/>
              <w:jc w:val="center"/>
              <w:rPr>
                <w:rFonts w:ascii="宋体" w:hAnsi="宋体"/>
                <w:b/>
                <w:bCs/>
              </w:rPr>
            </w:pPr>
            <w:r>
              <w:rPr>
                <w:rFonts w:hint="eastAsia" w:ascii="宋体" w:hAnsi="宋体"/>
                <w:b/>
                <w:bCs/>
              </w:rPr>
              <w:t>提</w:t>
            </w:r>
            <w:r>
              <w:rPr>
                <w:rFonts w:ascii="宋体" w:hAnsi="宋体"/>
                <w:b/>
                <w:bCs/>
              </w:rPr>
              <w:t xml:space="preserve"> </w:t>
            </w:r>
            <w:r>
              <w:rPr>
                <w:rFonts w:hint="eastAsia" w:ascii="宋体" w:hAnsi="宋体"/>
                <w:b/>
                <w:bCs/>
              </w:rPr>
              <w:t>交</w:t>
            </w:r>
            <w:r>
              <w:rPr>
                <w:rFonts w:ascii="宋体" w:hAnsi="宋体"/>
                <w:b/>
                <w:bCs/>
              </w:rPr>
              <w:t xml:space="preserve"> </w:t>
            </w:r>
            <w:r>
              <w:rPr>
                <w:rFonts w:hint="eastAsia" w:ascii="宋体" w:hAnsi="宋体"/>
                <w:b/>
                <w:bCs/>
              </w:rPr>
              <w:t>文</w:t>
            </w:r>
            <w:r>
              <w:rPr>
                <w:rFonts w:ascii="宋体" w:hAnsi="宋体"/>
                <w:b/>
                <w:bCs/>
              </w:rPr>
              <w:t xml:space="preserve"> </w:t>
            </w:r>
            <w:r>
              <w:rPr>
                <w:rFonts w:hint="eastAsia" w:ascii="宋体" w:hAnsi="宋体"/>
                <w:b/>
                <w:bCs/>
              </w:rPr>
              <w:t>件</w:t>
            </w:r>
            <w:r>
              <w:rPr>
                <w:rFonts w:ascii="宋体" w:hAnsi="宋体"/>
                <w:b/>
                <w:bCs/>
              </w:rPr>
              <w:t xml:space="preserve"> </w:t>
            </w:r>
            <w:r>
              <w:rPr>
                <w:rFonts w:hint="eastAsia" w:ascii="宋体" w:hAnsi="宋体"/>
                <w:b/>
                <w:bCs/>
              </w:rPr>
              <w:t>内</w:t>
            </w:r>
            <w:r>
              <w:rPr>
                <w:rFonts w:ascii="宋体" w:hAnsi="宋体"/>
                <w:b/>
                <w:bCs/>
              </w:rPr>
              <w:t xml:space="preserve"> </w:t>
            </w:r>
            <w:r>
              <w:rPr>
                <w:rFonts w:hint="eastAsia" w:ascii="宋体" w:hAnsi="宋体"/>
                <w:b/>
                <w:bCs/>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ascii="宋体" w:hAnsi="宋体" w:cs="Arial Unicode MS"/>
                <w:bCs/>
              </w:rPr>
            </w:pPr>
            <w:r>
              <w:rPr>
                <w:rFonts w:ascii="宋体" w:hAnsi="宋体"/>
                <w:bCs/>
              </w:rPr>
              <w:t>1</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cs="Arial Unicode MS"/>
              </w:rPr>
            </w:pPr>
            <w:r>
              <w:rPr>
                <w:rFonts w:ascii="宋体" w:hAnsi="宋体" w:cs="Arial Unicode MS"/>
              </w:rPr>
              <w:t>2</w:t>
            </w:r>
          </w:p>
        </w:tc>
        <w:tc>
          <w:tcPr>
            <w:tcW w:w="8678" w:type="dxa"/>
            <w:vAlign w:val="center"/>
          </w:tcPr>
          <w:p>
            <w:pPr>
              <w:spacing w:line="360" w:lineRule="auto"/>
              <w:ind w:firstLine="210" w:firstLineChars="100"/>
              <w:rPr>
                <w:rFonts w:ascii="宋体" w:hAnsi="宋体" w:cs="Arial Unicode MS"/>
              </w:rPr>
            </w:pPr>
            <w:r>
              <w:rPr>
                <w:rFonts w:hint="eastAsia" w:ascii="宋体" w:hAnsi="宋体"/>
              </w:rPr>
              <w:t>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cs="Arial Unicode MS"/>
                <w:bCs/>
              </w:rPr>
            </w:pPr>
            <w:r>
              <w:rPr>
                <w:rFonts w:ascii="宋体" w:hAnsi="宋体" w:cs="Arial Unicode MS"/>
                <w:bCs/>
              </w:rPr>
              <w:t>3</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质量管理体系认证证书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cs="Arial Unicode MS"/>
                <w:bCs/>
              </w:rPr>
            </w:pPr>
            <w:r>
              <w:rPr>
                <w:rFonts w:ascii="宋体" w:hAnsi="宋体" w:cs="Arial Unicode MS"/>
                <w:bCs/>
              </w:rPr>
              <w:t>4</w:t>
            </w:r>
          </w:p>
        </w:tc>
        <w:tc>
          <w:tcPr>
            <w:tcW w:w="8678" w:type="dxa"/>
            <w:vAlign w:val="center"/>
          </w:tcPr>
          <w:p>
            <w:pPr>
              <w:spacing w:line="360" w:lineRule="auto"/>
              <w:ind w:firstLine="210" w:firstLineChars="100"/>
              <w:rPr>
                <w:rFonts w:ascii="宋体" w:hAnsi="宋体" w:cs="Arial Unicode MS"/>
                <w:bCs/>
              </w:rPr>
            </w:pPr>
            <w:r>
              <w:rPr>
                <w:rFonts w:hint="eastAsia" w:ascii="宋体" w:hAnsi="宋体"/>
                <w:bCs/>
              </w:rPr>
              <w:t>其他与招标业务相关的资质证书、文件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bCs/>
                <w:color w:val="FF0000"/>
              </w:rPr>
            </w:pPr>
            <w:r>
              <w:rPr>
                <w:rFonts w:hint="default" w:ascii="宋体" w:hAnsi="宋体"/>
                <w:bCs/>
                <w:color w:val="FF0000"/>
              </w:rPr>
              <w:t>5</w:t>
            </w:r>
          </w:p>
        </w:tc>
        <w:tc>
          <w:tcPr>
            <w:tcW w:w="8678" w:type="dxa"/>
            <w:vAlign w:val="center"/>
          </w:tcPr>
          <w:p>
            <w:pPr>
              <w:spacing w:line="360" w:lineRule="auto"/>
              <w:ind w:firstLine="210" w:firstLineChars="100"/>
              <w:rPr>
                <w:rFonts w:hint="default" w:ascii="宋体" w:hAnsi="宋体"/>
                <w:bCs/>
                <w:color w:val="FF0000"/>
              </w:rPr>
            </w:pPr>
            <w:r>
              <w:rPr>
                <w:rFonts w:hint="default" w:ascii="宋体" w:hAnsi="宋体"/>
                <w:bCs/>
                <w:color w:val="FF0000"/>
              </w:rPr>
              <w:t>信创相关认证证书（如有）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cs="Arial Unicode MS"/>
              </w:rPr>
            </w:pPr>
            <w:r>
              <w:rPr>
                <w:rFonts w:hint="default" w:ascii="宋体" w:hAnsi="宋体" w:cs="Arial Unicode MS"/>
              </w:rPr>
              <w:t>6</w:t>
            </w:r>
          </w:p>
        </w:tc>
        <w:tc>
          <w:tcPr>
            <w:tcW w:w="8678" w:type="dxa"/>
            <w:vAlign w:val="center"/>
          </w:tcPr>
          <w:p>
            <w:pPr>
              <w:spacing w:line="360" w:lineRule="auto"/>
              <w:ind w:firstLine="210" w:firstLineChars="100"/>
              <w:rPr>
                <w:rFonts w:ascii="宋体" w:hAnsi="宋体" w:cs="Arial Unicode MS"/>
              </w:rPr>
            </w:pPr>
            <w:r>
              <w:rPr>
                <w:rFonts w:hint="eastAsia" w:ascii="宋体" w:hAnsi="宋体"/>
              </w:rPr>
              <w:t>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 w:hRule="atLeast"/>
          <w:jc w:val="center"/>
        </w:trPr>
        <w:tc>
          <w:tcPr>
            <w:tcW w:w="656" w:type="dxa"/>
            <w:vAlign w:val="center"/>
          </w:tcPr>
          <w:p>
            <w:pPr>
              <w:spacing w:line="360" w:lineRule="auto"/>
              <w:jc w:val="center"/>
              <w:rPr>
                <w:rFonts w:hint="default" w:ascii="宋体" w:hAnsi="宋体" w:cs="Arial Unicode MS"/>
              </w:rPr>
            </w:pPr>
            <w:r>
              <w:rPr>
                <w:rFonts w:hint="default" w:ascii="宋体" w:hAnsi="宋体" w:cs="Arial Unicode MS"/>
              </w:rPr>
              <w:t>7</w:t>
            </w:r>
          </w:p>
        </w:tc>
        <w:tc>
          <w:tcPr>
            <w:tcW w:w="8678" w:type="dxa"/>
            <w:vAlign w:val="center"/>
          </w:tcPr>
          <w:p>
            <w:pPr>
              <w:spacing w:line="360" w:lineRule="auto"/>
              <w:ind w:firstLine="210" w:firstLineChars="100"/>
              <w:rPr>
                <w:rFonts w:ascii="宋体" w:hAnsi="宋体" w:cs="Arial Unicode MS"/>
              </w:rPr>
            </w:pPr>
            <w:r>
              <w:rPr>
                <w:rFonts w:hint="eastAsia" w:ascii="宋体" w:hAnsi="宋体"/>
              </w:rPr>
              <w:t>上一年度完整的审计报告（无审计报告的提供说明，并提交上一年度财务报表，包括资产负债表、利润表和现金流量表）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656" w:type="dxa"/>
            <w:vAlign w:val="center"/>
          </w:tcPr>
          <w:p>
            <w:pPr>
              <w:spacing w:line="360" w:lineRule="auto"/>
              <w:jc w:val="center"/>
              <w:rPr>
                <w:rFonts w:hint="default" w:ascii="宋体" w:hAnsi="宋体"/>
              </w:rPr>
            </w:pPr>
            <w:r>
              <w:rPr>
                <w:rFonts w:ascii="宋体" w:hAnsi="宋体"/>
              </w:rPr>
              <w:t>8</w:t>
            </w:r>
          </w:p>
        </w:tc>
        <w:tc>
          <w:tcPr>
            <w:tcW w:w="8678" w:type="dxa"/>
            <w:vAlign w:val="center"/>
          </w:tcPr>
          <w:p>
            <w:pPr>
              <w:spacing w:line="360" w:lineRule="auto"/>
              <w:ind w:firstLine="210" w:firstLineChars="100"/>
              <w:rPr>
                <w:rFonts w:ascii="宋体" w:hAnsi="宋体"/>
              </w:rPr>
            </w:pPr>
            <w:r>
              <w:rPr>
                <w:rFonts w:hint="eastAsia" w:ascii="宋体" w:hAnsi="宋体"/>
              </w:rPr>
              <w:t>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656" w:type="dxa"/>
            <w:vAlign w:val="center"/>
          </w:tcPr>
          <w:p>
            <w:pPr>
              <w:spacing w:line="360" w:lineRule="auto"/>
              <w:jc w:val="center"/>
              <w:rPr>
                <w:rFonts w:hint="default" w:ascii="宋体" w:hAnsi="宋体" w:cs="Arial Unicode MS"/>
              </w:rPr>
            </w:pPr>
            <w:r>
              <w:rPr>
                <w:rFonts w:ascii="宋体" w:hAnsi="宋体" w:cs="Arial Unicode MS"/>
              </w:rPr>
              <w:t>9</w:t>
            </w:r>
          </w:p>
        </w:tc>
        <w:tc>
          <w:tcPr>
            <w:tcW w:w="8678" w:type="dxa"/>
            <w:vAlign w:val="center"/>
          </w:tcPr>
          <w:p>
            <w:pPr>
              <w:spacing w:line="360" w:lineRule="auto"/>
              <w:ind w:firstLine="210" w:firstLineChars="100"/>
              <w:rPr>
                <w:rFonts w:ascii="宋体" w:hAnsi="宋体" w:cs="Arial Unicode MS"/>
              </w:rPr>
            </w:pPr>
            <w:r>
              <w:rPr>
                <w:rFonts w:hint="eastAsia" w:ascii="宋体" w:hAnsi="宋体"/>
              </w:rPr>
              <w:t>上一年度或本年度的同种业务类合同</w:t>
            </w:r>
            <w:r>
              <w:rPr>
                <w:rFonts w:ascii="宋体" w:hAnsi="宋体"/>
              </w:rPr>
              <w:t>（供应商可覆盖保密内容）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jc w:val="center"/>
        </w:trPr>
        <w:tc>
          <w:tcPr>
            <w:tcW w:w="656" w:type="dxa"/>
            <w:vAlign w:val="center"/>
          </w:tcPr>
          <w:p>
            <w:pPr>
              <w:spacing w:line="360" w:lineRule="auto"/>
              <w:jc w:val="center"/>
              <w:rPr>
                <w:rFonts w:hint="default" w:ascii="宋体" w:hAnsi="宋体"/>
              </w:rPr>
            </w:pPr>
            <w:r>
              <w:rPr>
                <w:rFonts w:ascii="宋体" w:hAnsi="宋体"/>
              </w:rPr>
              <w:t>10</w:t>
            </w:r>
          </w:p>
        </w:tc>
        <w:tc>
          <w:tcPr>
            <w:tcW w:w="8678" w:type="dxa"/>
            <w:vAlign w:val="center"/>
          </w:tcPr>
          <w:p>
            <w:pPr>
              <w:spacing w:line="360" w:lineRule="auto"/>
              <w:ind w:firstLine="210" w:firstLineChars="100"/>
              <w:rPr>
                <w:rFonts w:ascii="宋体" w:hAnsi="宋体" w:eastAsia="宋体" w:cs="Times New Roman"/>
                <w:szCs w:val="24"/>
              </w:rPr>
            </w:pPr>
            <w:r>
              <w:rPr>
                <w:rFonts w:hint="eastAsia"/>
                <w:szCs w:val="18"/>
              </w:rPr>
              <w:t>其他资质、资格证书、荣誉证书等</w:t>
            </w:r>
          </w:p>
        </w:tc>
      </w:tr>
    </w:tbl>
    <w:p>
      <w:pPr>
        <w:pStyle w:val="8"/>
        <w:ind w:firstLine="0"/>
      </w:pPr>
    </w:p>
    <w:p>
      <w:pPr>
        <w:pStyle w:val="4"/>
        <w:spacing w:line="360" w:lineRule="auto"/>
      </w:pPr>
      <w:bookmarkStart w:id="40" w:name="_Toc26351171"/>
      <w:bookmarkStart w:id="41" w:name="_Toc535921104"/>
      <w:r>
        <w:rPr>
          <w:rFonts w:hint="default"/>
        </w:rPr>
        <w:t>9</w:t>
      </w:r>
      <w:r>
        <w:rPr>
          <w:rFonts w:hint="eastAsia"/>
        </w:rPr>
        <w:t>、质量、商务及服务承诺</w:t>
      </w:r>
      <w:bookmarkEnd w:id="40"/>
      <w:bookmarkEnd w:id="41"/>
    </w:p>
    <w:p>
      <w:pPr>
        <w:numPr>
          <w:ilvl w:val="2"/>
          <w:numId w:val="6"/>
        </w:numPr>
        <w:tabs>
          <w:tab w:val="left" w:pos="900"/>
        </w:tabs>
        <w:spacing w:line="360" w:lineRule="auto"/>
        <w:ind w:left="900"/>
        <w:rPr>
          <w:rFonts w:ascii="宋体" w:hAnsi="宋体"/>
        </w:rPr>
      </w:pPr>
      <w:r>
        <w:rPr>
          <w:rFonts w:hint="eastAsia" w:ascii="宋体" w:hAnsi="宋体"/>
        </w:rPr>
        <w:t>对投标产品/服务质量保证的措施、方法；</w:t>
      </w:r>
    </w:p>
    <w:p>
      <w:pPr>
        <w:numPr>
          <w:ilvl w:val="2"/>
          <w:numId w:val="6"/>
        </w:numPr>
        <w:tabs>
          <w:tab w:val="left" w:pos="900"/>
        </w:tabs>
        <w:spacing w:line="360" w:lineRule="auto"/>
        <w:ind w:left="900"/>
        <w:rPr>
          <w:rFonts w:ascii="宋体" w:hAnsi="宋体"/>
        </w:rPr>
      </w:pPr>
      <w:r>
        <w:rPr>
          <w:rFonts w:hint="eastAsia" w:ascii="宋体" w:hAnsi="宋体"/>
        </w:rPr>
        <w:t>对投标产品售后服务承诺及此招标项目的特殊服务政策；</w:t>
      </w:r>
    </w:p>
    <w:p>
      <w:pPr>
        <w:numPr>
          <w:ilvl w:val="2"/>
          <w:numId w:val="6"/>
        </w:numPr>
        <w:tabs>
          <w:tab w:val="left" w:pos="900"/>
        </w:tabs>
        <w:spacing w:line="360" w:lineRule="auto"/>
        <w:ind w:left="900"/>
        <w:rPr>
          <w:rFonts w:ascii="宋体" w:hAnsi="宋体"/>
        </w:rPr>
      </w:pPr>
      <w:r>
        <w:rPr>
          <w:rFonts w:hint="eastAsia" w:ascii="宋体" w:hAnsi="宋体"/>
        </w:rPr>
        <w:t>项目完成时间；</w:t>
      </w:r>
    </w:p>
    <w:p>
      <w:pPr>
        <w:numPr>
          <w:ilvl w:val="2"/>
          <w:numId w:val="6"/>
        </w:numPr>
        <w:tabs>
          <w:tab w:val="left" w:pos="900"/>
        </w:tabs>
        <w:spacing w:line="360" w:lineRule="auto"/>
        <w:ind w:left="900"/>
        <w:rPr>
          <w:rFonts w:ascii="宋体" w:hAnsi="宋体"/>
        </w:rPr>
      </w:pPr>
      <w:r>
        <w:rPr>
          <w:rFonts w:hint="eastAsia" w:ascii="宋体" w:hAnsi="宋体"/>
        </w:rPr>
        <w:t>结算周期。</w:t>
      </w:r>
    </w:p>
    <w:p>
      <w:pPr>
        <w:pStyle w:val="8"/>
      </w:pPr>
    </w:p>
    <w:p>
      <w:pPr>
        <w:pStyle w:val="3"/>
      </w:pPr>
      <w:bookmarkStart w:id="42" w:name="_Toc26351173"/>
      <w:bookmarkStart w:id="43" w:name="_Toc535921106"/>
      <w:r>
        <w:rPr>
          <w:rFonts w:hint="eastAsia"/>
        </w:rPr>
        <w:t>四、投标书制作、封装、递交</w:t>
      </w:r>
      <w:bookmarkEnd w:id="42"/>
      <w:bookmarkEnd w:id="43"/>
    </w:p>
    <w:p>
      <w:pPr>
        <w:pStyle w:val="26"/>
        <w:numPr>
          <w:ilvl w:val="0"/>
          <w:numId w:val="10"/>
        </w:numPr>
        <w:spacing w:before="0" w:beforeAutospacing="0" w:after="0" w:afterAutospacing="0" w:line="360" w:lineRule="auto"/>
        <w:rPr>
          <w:sz w:val="21"/>
          <w:szCs w:val="18"/>
        </w:rPr>
      </w:pPr>
      <w:r>
        <w:rPr>
          <w:rFonts w:hint="eastAsia"/>
          <w:sz w:val="21"/>
          <w:szCs w:val="18"/>
        </w:rPr>
        <w:t>份数：</w:t>
      </w:r>
      <w:r>
        <w:rPr>
          <w:rFonts w:hint="eastAsia" w:ascii="Verdana" w:hAnsi="Verdana"/>
          <w:sz w:val="21"/>
          <w:szCs w:val="21"/>
        </w:rPr>
        <w:t>投标书一式</w:t>
      </w:r>
      <w:r>
        <w:rPr>
          <w:rFonts w:hint="eastAsia" w:ascii="Verdana" w:hAnsi="Verdana"/>
          <w:sz w:val="21"/>
          <w:szCs w:val="21"/>
          <w:u w:val="single"/>
        </w:rPr>
        <w:t>五</w:t>
      </w:r>
      <w:r>
        <w:rPr>
          <w:rFonts w:hint="eastAsia" w:ascii="Verdana" w:hAnsi="Verdana"/>
          <w:sz w:val="21"/>
          <w:szCs w:val="21"/>
        </w:rPr>
        <w:t>份（其中正本一份，副本四份）</w:t>
      </w:r>
    </w:p>
    <w:p>
      <w:pPr>
        <w:pStyle w:val="26"/>
        <w:numPr>
          <w:ilvl w:val="0"/>
          <w:numId w:val="10"/>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pPr>
        <w:pStyle w:val="26"/>
        <w:numPr>
          <w:ilvl w:val="0"/>
          <w:numId w:val="10"/>
        </w:numPr>
        <w:spacing w:before="0" w:beforeAutospacing="0" w:after="0" w:afterAutospacing="0" w:line="360" w:lineRule="auto"/>
        <w:rPr>
          <w:sz w:val="21"/>
          <w:szCs w:val="18"/>
        </w:rPr>
      </w:pPr>
      <w:r>
        <w:rPr>
          <w:rFonts w:hint="eastAsia"/>
          <w:sz w:val="21"/>
          <w:szCs w:val="18"/>
        </w:rPr>
        <w:t>投标书信袋封条上应写明：</w:t>
      </w:r>
    </w:p>
    <w:p>
      <w:pPr>
        <w:pStyle w:val="26"/>
        <w:spacing w:before="0" w:beforeAutospacing="0" w:after="0" w:afterAutospacing="0" w:line="360" w:lineRule="auto"/>
        <w:rPr>
          <w:sz w:val="21"/>
          <w:szCs w:val="18"/>
        </w:rPr>
      </w:pPr>
      <w:r>
        <w:rPr>
          <w:rFonts w:hint="eastAsia"/>
          <w:sz w:val="21"/>
          <w:szCs w:val="18"/>
        </w:rPr>
        <w:t>　　（1） 招标人、招标书所指明的投标送达地址；</w:t>
      </w:r>
      <w:r>
        <w:rPr>
          <w:sz w:val="21"/>
          <w:szCs w:val="18"/>
        </w:rPr>
        <w:br w:type="textWrapping"/>
      </w:r>
      <w:r>
        <w:rPr>
          <w:rFonts w:hint="eastAsia"/>
          <w:sz w:val="21"/>
          <w:szCs w:val="18"/>
        </w:rPr>
        <w:t>　　（2） 招标项目名称、编号；</w:t>
      </w:r>
      <w:r>
        <w:rPr>
          <w:sz w:val="21"/>
          <w:szCs w:val="18"/>
        </w:rPr>
        <w:br w:type="textWrapping"/>
      </w:r>
      <w:r>
        <w:rPr>
          <w:rFonts w:hint="eastAsia"/>
          <w:sz w:val="21"/>
          <w:szCs w:val="18"/>
        </w:rPr>
        <w:t>　　（4） 投标企业名称和地址、联系人手机和邮箱；</w:t>
      </w:r>
      <w:r>
        <w:rPr>
          <w:sz w:val="21"/>
          <w:szCs w:val="18"/>
        </w:rPr>
        <w:br w:type="textWrapping"/>
      </w:r>
      <w:r>
        <w:rPr>
          <w:rFonts w:hint="eastAsia"/>
          <w:sz w:val="21"/>
          <w:szCs w:val="18"/>
        </w:rPr>
        <w:t>　　（5） 注明“开标时才能启封”，“正本”，“副本”。</w:t>
      </w:r>
    </w:p>
    <w:p>
      <w:pPr>
        <w:pStyle w:val="26"/>
        <w:numPr>
          <w:ilvl w:val="0"/>
          <w:numId w:val="10"/>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pPr>
        <w:pStyle w:val="26"/>
        <w:numPr>
          <w:ilvl w:val="0"/>
          <w:numId w:val="10"/>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pPr>
        <w:pStyle w:val="26"/>
        <w:numPr>
          <w:ilvl w:val="0"/>
          <w:numId w:val="10"/>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pPr>
        <w:pStyle w:val="2"/>
        <w:rPr>
          <w:b/>
          <w:bCs/>
          <w:sz w:val="21"/>
          <w:szCs w:val="18"/>
        </w:rPr>
      </w:pPr>
      <w:bookmarkStart w:id="44" w:name="_Toc26351174"/>
      <w:bookmarkStart w:id="45" w:name="_Toc535921107"/>
      <w:r>
        <w:rPr>
          <w:rFonts w:hint="eastAsia"/>
        </w:rPr>
        <w:t>第五部分</w:t>
      </w:r>
      <w:r>
        <w:t xml:space="preserve"> </w:t>
      </w:r>
      <w:r>
        <w:rPr>
          <w:rFonts w:hint="eastAsia"/>
        </w:rPr>
        <w:t>开标、评标</w:t>
      </w:r>
      <w:bookmarkEnd w:id="44"/>
      <w:bookmarkEnd w:id="45"/>
    </w:p>
    <w:p>
      <w:pPr>
        <w:pStyle w:val="3"/>
        <w:spacing w:line="360" w:lineRule="auto"/>
      </w:pPr>
      <w:bookmarkStart w:id="46" w:name="_Toc535921108"/>
      <w:bookmarkStart w:id="47" w:name="_Toc26351175"/>
      <w:r>
        <w:t>1</w:t>
      </w:r>
      <w:r>
        <w:rPr>
          <w:rFonts w:hint="eastAsia"/>
        </w:rPr>
        <w:t>、开标</w:t>
      </w:r>
      <w:bookmarkEnd w:id="46"/>
      <w:bookmarkEnd w:id="47"/>
    </w:p>
    <w:p>
      <w:pPr>
        <w:pStyle w:val="26"/>
        <w:numPr>
          <w:ilvl w:val="1"/>
          <w:numId w:val="11"/>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pPr>
        <w:pStyle w:val="26"/>
        <w:numPr>
          <w:ilvl w:val="1"/>
          <w:numId w:val="11"/>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pPr>
        <w:pStyle w:val="26"/>
        <w:numPr>
          <w:ilvl w:val="1"/>
          <w:numId w:val="11"/>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pPr>
        <w:pStyle w:val="8"/>
        <w:ind w:firstLine="0"/>
      </w:pPr>
    </w:p>
    <w:p>
      <w:pPr>
        <w:pStyle w:val="3"/>
        <w:spacing w:line="360" w:lineRule="auto"/>
      </w:pPr>
      <w:bookmarkStart w:id="48" w:name="_Toc535921109"/>
      <w:bookmarkStart w:id="49" w:name="_Toc26351176"/>
      <w:r>
        <w:t>2</w:t>
      </w:r>
      <w:r>
        <w:rPr>
          <w:rFonts w:hint="eastAsia"/>
        </w:rPr>
        <w:t>、评标</w:t>
      </w:r>
      <w:bookmarkEnd w:id="48"/>
      <w:bookmarkEnd w:id="49"/>
    </w:p>
    <w:p>
      <w:pPr>
        <w:pStyle w:val="26"/>
        <w:numPr>
          <w:ilvl w:val="0"/>
          <w:numId w:val="12"/>
        </w:numPr>
        <w:spacing w:before="0" w:beforeAutospacing="0" w:after="0" w:afterAutospacing="0" w:line="360" w:lineRule="auto"/>
        <w:ind w:hanging="585"/>
        <w:rPr>
          <w:sz w:val="21"/>
          <w:szCs w:val="18"/>
        </w:rPr>
      </w:pPr>
      <w:r>
        <w:rPr>
          <w:rFonts w:hint="eastAsia"/>
          <w:sz w:val="21"/>
          <w:szCs w:val="18"/>
        </w:rPr>
        <w:t>开标会议结束后，评标小组进行评标。</w:t>
      </w:r>
    </w:p>
    <w:p>
      <w:pPr>
        <w:pStyle w:val="26"/>
        <w:numPr>
          <w:ilvl w:val="0"/>
          <w:numId w:val="12"/>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pPr>
        <w:pStyle w:val="26"/>
        <w:numPr>
          <w:ilvl w:val="0"/>
          <w:numId w:val="12"/>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pPr>
        <w:pStyle w:val="26"/>
        <w:numPr>
          <w:ilvl w:val="0"/>
          <w:numId w:val="13"/>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pPr>
        <w:pStyle w:val="26"/>
        <w:numPr>
          <w:ilvl w:val="0"/>
          <w:numId w:val="13"/>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pPr>
        <w:pStyle w:val="26"/>
        <w:numPr>
          <w:ilvl w:val="0"/>
          <w:numId w:val="13"/>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pPr>
        <w:pStyle w:val="26"/>
        <w:numPr>
          <w:ilvl w:val="0"/>
          <w:numId w:val="13"/>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pPr>
        <w:pStyle w:val="26"/>
        <w:numPr>
          <w:ilvl w:val="0"/>
          <w:numId w:val="13"/>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pPr>
        <w:pStyle w:val="26"/>
        <w:numPr>
          <w:ilvl w:val="0"/>
          <w:numId w:val="12"/>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pPr>
        <w:pStyle w:val="26"/>
        <w:numPr>
          <w:ilvl w:val="0"/>
          <w:numId w:val="12"/>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pPr>
        <w:pStyle w:val="26"/>
        <w:numPr>
          <w:ilvl w:val="0"/>
          <w:numId w:val="14"/>
        </w:numPr>
        <w:spacing w:before="0" w:beforeAutospacing="0" w:after="0" w:afterAutospacing="0" w:line="360" w:lineRule="auto"/>
        <w:rPr>
          <w:sz w:val="21"/>
          <w:szCs w:val="18"/>
        </w:rPr>
      </w:pPr>
      <w:r>
        <w:rPr>
          <w:rFonts w:hint="eastAsia"/>
          <w:sz w:val="21"/>
          <w:szCs w:val="18"/>
        </w:rPr>
        <w:t>公司资质</w:t>
      </w:r>
    </w:p>
    <w:p>
      <w:pPr>
        <w:pStyle w:val="26"/>
        <w:numPr>
          <w:ilvl w:val="0"/>
          <w:numId w:val="14"/>
        </w:numPr>
        <w:spacing w:before="0" w:beforeAutospacing="0" w:after="0" w:afterAutospacing="0" w:line="360" w:lineRule="auto"/>
        <w:rPr>
          <w:sz w:val="21"/>
          <w:szCs w:val="18"/>
        </w:rPr>
      </w:pPr>
      <w:r>
        <w:rPr>
          <w:rFonts w:hint="eastAsia"/>
          <w:sz w:val="21"/>
          <w:szCs w:val="18"/>
        </w:rPr>
        <w:t>技术力量和服务质量</w:t>
      </w:r>
    </w:p>
    <w:p>
      <w:pPr>
        <w:pStyle w:val="26"/>
        <w:numPr>
          <w:ilvl w:val="0"/>
          <w:numId w:val="14"/>
        </w:numPr>
        <w:spacing w:before="0" w:beforeAutospacing="0" w:after="0" w:afterAutospacing="0" w:line="360" w:lineRule="auto"/>
        <w:rPr>
          <w:sz w:val="21"/>
          <w:szCs w:val="18"/>
        </w:rPr>
      </w:pPr>
      <w:r>
        <w:rPr>
          <w:rFonts w:hint="eastAsia"/>
          <w:sz w:val="21"/>
          <w:szCs w:val="18"/>
        </w:rPr>
        <w:t>对招标书中付款条件和付款方式的响应</w:t>
      </w:r>
    </w:p>
    <w:p>
      <w:pPr>
        <w:pStyle w:val="26"/>
        <w:numPr>
          <w:ilvl w:val="0"/>
          <w:numId w:val="14"/>
        </w:numPr>
        <w:spacing w:before="0" w:beforeAutospacing="0" w:after="0" w:afterAutospacing="0" w:line="360" w:lineRule="auto"/>
        <w:rPr>
          <w:sz w:val="21"/>
          <w:szCs w:val="18"/>
        </w:rPr>
      </w:pPr>
      <w:r>
        <w:rPr>
          <w:rFonts w:hint="eastAsia"/>
          <w:sz w:val="21"/>
          <w:szCs w:val="18"/>
        </w:rPr>
        <w:t>投标人的综合实力、业绩和信誉等</w:t>
      </w:r>
    </w:p>
    <w:p>
      <w:pPr>
        <w:pStyle w:val="26"/>
        <w:numPr>
          <w:ilvl w:val="0"/>
          <w:numId w:val="14"/>
        </w:numPr>
        <w:spacing w:before="0" w:beforeAutospacing="0" w:after="0" w:afterAutospacing="0" w:line="360" w:lineRule="auto"/>
        <w:rPr>
          <w:sz w:val="21"/>
          <w:szCs w:val="18"/>
        </w:rPr>
      </w:pPr>
      <w:r>
        <w:rPr>
          <w:rFonts w:hint="eastAsia"/>
          <w:sz w:val="21"/>
          <w:szCs w:val="18"/>
        </w:rPr>
        <w:t>其它相关因素</w:t>
      </w:r>
    </w:p>
    <w:p>
      <w:pPr>
        <w:pStyle w:val="26"/>
        <w:spacing w:before="0" w:beforeAutospacing="0" w:after="0" w:afterAutospacing="0" w:line="360" w:lineRule="auto"/>
        <w:rPr>
          <w:sz w:val="21"/>
          <w:szCs w:val="18"/>
        </w:rPr>
      </w:pPr>
    </w:p>
    <w:p>
      <w:pPr>
        <w:pStyle w:val="3"/>
      </w:pPr>
      <w:bookmarkStart w:id="50" w:name="_Toc26351177"/>
      <w:bookmarkStart w:id="51" w:name="_Toc535921110"/>
      <w:r>
        <w:t>3</w:t>
      </w:r>
      <w:r>
        <w:rPr>
          <w:rFonts w:hint="eastAsia"/>
        </w:rPr>
        <w:t>、标书的澄清</w:t>
      </w:r>
      <w:bookmarkEnd w:id="50"/>
      <w:bookmarkEnd w:id="51"/>
    </w:p>
    <w:p>
      <w:pPr>
        <w:pStyle w:val="26"/>
        <w:spacing w:before="0" w:beforeAutospacing="0" w:after="0" w:afterAutospacing="0" w:line="360" w:lineRule="auto"/>
        <w:ind w:firstLine="420" w:firstLineChars="20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pPr>
        <w:pStyle w:val="26"/>
        <w:spacing w:before="0" w:beforeAutospacing="0" w:after="0" w:afterAutospacing="0" w:line="360" w:lineRule="auto"/>
        <w:ind w:firstLine="420" w:firstLineChars="200"/>
        <w:rPr>
          <w:sz w:val="21"/>
          <w:szCs w:val="18"/>
        </w:rPr>
      </w:pPr>
      <w:r>
        <w:rPr>
          <w:rFonts w:hint="eastAsia"/>
          <w:sz w:val="21"/>
          <w:szCs w:val="18"/>
        </w:rPr>
        <w:t>（2）投标人对要求说明和澄清问题应以书面形式明确答复，并应有法人授权代表的签署。</w:t>
      </w:r>
    </w:p>
    <w:p>
      <w:pPr>
        <w:pStyle w:val="26"/>
        <w:spacing w:before="0" w:beforeAutospacing="0" w:after="0" w:afterAutospacing="0" w:line="360" w:lineRule="auto"/>
        <w:ind w:firstLine="420" w:firstLineChars="200"/>
        <w:rPr>
          <w:sz w:val="21"/>
          <w:szCs w:val="18"/>
        </w:rPr>
      </w:pPr>
      <w:r>
        <w:rPr>
          <w:rFonts w:hint="eastAsia"/>
          <w:sz w:val="21"/>
          <w:szCs w:val="18"/>
        </w:rPr>
        <w:t>（3）投标人的澄清文件是投标书的组成部分，并替代投标书中被澄清的部分。</w:t>
      </w:r>
    </w:p>
    <w:p>
      <w:pPr>
        <w:pStyle w:val="26"/>
        <w:spacing w:before="0" w:beforeAutospacing="0" w:after="0" w:afterAutospacing="0" w:line="360" w:lineRule="auto"/>
        <w:ind w:firstLine="420" w:firstLineChars="200"/>
        <w:rPr>
          <w:sz w:val="21"/>
          <w:szCs w:val="18"/>
        </w:rPr>
      </w:pPr>
      <w:r>
        <w:rPr>
          <w:rFonts w:hint="eastAsia"/>
          <w:sz w:val="21"/>
          <w:szCs w:val="18"/>
        </w:rPr>
        <w:t>（4）允许对投标书中不清楚问题进行澄清，不允许对技术、商务、价格等实质性内容进行修改。澄清要通过书面方式进行。</w:t>
      </w:r>
    </w:p>
    <w:p>
      <w:pPr>
        <w:pStyle w:val="26"/>
        <w:spacing w:before="0" w:beforeAutospacing="0" w:after="0" w:afterAutospacing="0" w:line="360" w:lineRule="auto"/>
        <w:rPr>
          <w:sz w:val="21"/>
          <w:szCs w:val="18"/>
        </w:rPr>
      </w:pPr>
    </w:p>
    <w:p>
      <w:pPr>
        <w:pStyle w:val="3"/>
      </w:pPr>
      <w:bookmarkStart w:id="52" w:name="_Toc26351178"/>
      <w:bookmarkStart w:id="53" w:name="_Toc535921111"/>
      <w:r>
        <w:t>4</w:t>
      </w:r>
      <w:r>
        <w:rPr>
          <w:rFonts w:hint="eastAsia"/>
        </w:rPr>
        <w:t>、确定中标人</w:t>
      </w:r>
      <w:bookmarkEnd w:id="52"/>
      <w:bookmarkEnd w:id="53"/>
    </w:p>
    <w:p>
      <w:pPr>
        <w:pStyle w:val="26"/>
        <w:spacing w:before="0" w:beforeAutospacing="0" w:after="0" w:afterAutospacing="0" w:line="360" w:lineRule="auto"/>
        <w:rPr>
          <w:sz w:val="21"/>
          <w:szCs w:val="18"/>
        </w:rPr>
      </w:pPr>
      <w:r>
        <w:rPr>
          <w:rFonts w:hint="eastAsia"/>
          <w:sz w:val="21"/>
          <w:szCs w:val="18"/>
        </w:rPr>
        <w:t>　（</w:t>
      </w:r>
      <w:r>
        <w:rPr>
          <w:sz w:val="21"/>
          <w:szCs w:val="18"/>
        </w:rPr>
        <w:t>1</w:t>
      </w:r>
      <w:r>
        <w:rPr>
          <w:rFonts w:hint="eastAsia"/>
          <w:sz w:val="21"/>
          <w:szCs w:val="18"/>
        </w:rPr>
        <w:t>）招标人将根据评标小组提出的书面评标报告和推荐的中标候选人确定中标人，也可以授权评标小组直接确定中标人。</w:t>
      </w:r>
    </w:p>
    <w:p>
      <w:pPr>
        <w:pStyle w:val="26"/>
        <w:spacing w:before="0" w:beforeAutospacing="0" w:after="0" w:afterAutospacing="0" w:line="360" w:lineRule="auto"/>
        <w:rPr>
          <w:sz w:val="21"/>
          <w:szCs w:val="18"/>
        </w:rPr>
      </w:pPr>
      <w:r>
        <w:rPr>
          <w:rFonts w:hint="eastAsia"/>
          <w:sz w:val="21"/>
          <w:szCs w:val="18"/>
        </w:rPr>
        <w:t>　（2）确定的中标人将授予符合下列条件之一的投标人：</w:t>
      </w:r>
    </w:p>
    <w:p>
      <w:pPr>
        <w:pStyle w:val="26"/>
        <w:numPr>
          <w:ilvl w:val="0"/>
          <w:numId w:val="15"/>
        </w:numPr>
        <w:spacing w:before="0" w:beforeAutospacing="0" w:after="0" w:afterAutospacing="0" w:line="360" w:lineRule="auto"/>
        <w:rPr>
          <w:sz w:val="21"/>
          <w:szCs w:val="18"/>
        </w:rPr>
      </w:pPr>
      <w:r>
        <w:rPr>
          <w:rFonts w:hint="eastAsia"/>
          <w:sz w:val="21"/>
          <w:szCs w:val="18"/>
        </w:rPr>
        <w:t>评标综合得分最高者；</w:t>
      </w:r>
    </w:p>
    <w:p>
      <w:pPr>
        <w:pStyle w:val="26"/>
        <w:numPr>
          <w:ilvl w:val="0"/>
          <w:numId w:val="15"/>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pPr>
        <w:pStyle w:val="26"/>
        <w:numPr>
          <w:ilvl w:val="0"/>
          <w:numId w:val="15"/>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pPr>
        <w:pStyle w:val="26"/>
        <w:numPr>
          <w:ilvl w:val="0"/>
          <w:numId w:val="15"/>
        </w:numPr>
        <w:spacing w:before="0" w:beforeAutospacing="0" w:after="0" w:afterAutospacing="0" w:line="360" w:lineRule="auto"/>
        <w:rPr>
          <w:sz w:val="21"/>
          <w:szCs w:val="18"/>
        </w:rPr>
      </w:pPr>
      <w:r>
        <w:rPr>
          <w:rFonts w:hint="eastAsia"/>
          <w:sz w:val="21"/>
          <w:szCs w:val="18"/>
        </w:rPr>
        <w:t>中标人数量，由招标人确定，并可以确定备选中标人。</w:t>
      </w:r>
    </w:p>
    <w:p>
      <w:pPr>
        <w:pStyle w:val="3"/>
      </w:pPr>
      <w:bookmarkStart w:id="54" w:name="_Toc26351179"/>
      <w:bookmarkStart w:id="55" w:name="_Toc535921112"/>
      <w:r>
        <w:t>5</w:t>
      </w:r>
      <w:r>
        <w:rPr>
          <w:rFonts w:hint="eastAsia"/>
        </w:rPr>
        <w:t>、中标通知</w:t>
      </w:r>
      <w:bookmarkEnd w:id="54"/>
      <w:bookmarkEnd w:id="55"/>
    </w:p>
    <w:p>
      <w:pPr>
        <w:pStyle w:val="26"/>
        <w:spacing w:before="0" w:beforeAutospacing="0" w:after="0" w:afterAutospacing="0" w:line="360" w:lineRule="auto"/>
        <w:ind w:firstLine="420" w:firstLineChars="20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pPr>
        <w:pStyle w:val="26"/>
        <w:spacing w:before="0" w:beforeAutospacing="0" w:after="0" w:afterAutospacing="0" w:line="360" w:lineRule="auto"/>
        <w:ind w:firstLine="420" w:firstLineChars="200"/>
        <w:rPr>
          <w:sz w:val="21"/>
          <w:szCs w:val="18"/>
        </w:rPr>
      </w:pPr>
      <w:r>
        <w:rPr>
          <w:rFonts w:hint="eastAsia"/>
          <w:sz w:val="21"/>
          <w:szCs w:val="18"/>
        </w:rPr>
        <w:t>《中标通知书》将作为签订合同的依据。</w:t>
      </w: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
      </w:pPr>
      <w:bookmarkStart w:id="56" w:name="_Toc535921113"/>
      <w:bookmarkStart w:id="57" w:name="_Toc26351180"/>
      <w:r>
        <w:rPr>
          <w:rFonts w:hint="eastAsia"/>
        </w:rPr>
        <w:t>第六部分</w:t>
      </w:r>
      <w:r>
        <w:t xml:space="preserve"> </w:t>
      </w:r>
      <w:r>
        <w:rPr>
          <w:rFonts w:hint="eastAsia"/>
        </w:rPr>
        <w:t>签订合同</w:t>
      </w:r>
      <w:bookmarkEnd w:id="56"/>
      <w:bookmarkEnd w:id="57"/>
    </w:p>
    <w:p/>
    <w:p>
      <w:pPr>
        <w:pStyle w:val="3"/>
      </w:pPr>
      <w:bookmarkStart w:id="58" w:name="_Toc535921114"/>
      <w:bookmarkStart w:id="59" w:name="_Toc26351181"/>
      <w:r>
        <w:t>1</w:t>
      </w:r>
      <w:r>
        <w:rPr>
          <w:rFonts w:hint="eastAsia"/>
        </w:rPr>
        <w:t>、签订合同</w:t>
      </w:r>
      <w:bookmarkEnd w:id="58"/>
      <w:bookmarkEnd w:id="59"/>
    </w:p>
    <w:p>
      <w:pPr>
        <w:pStyle w:val="26"/>
        <w:spacing w:before="0" w:beforeAutospacing="0" w:after="0" w:afterAutospacing="0" w:line="360" w:lineRule="auto"/>
        <w:ind w:firstLine="420" w:firstLineChars="20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pPr>
        <w:pStyle w:val="3"/>
      </w:pPr>
      <w:bookmarkStart w:id="60" w:name="_Toc26351182"/>
      <w:bookmarkStart w:id="61" w:name="_Toc535921115"/>
      <w:r>
        <w:t>2</w:t>
      </w:r>
      <w:r>
        <w:rPr>
          <w:rFonts w:hint="eastAsia"/>
        </w:rPr>
        <w:t>、商务条款和合同内容</w:t>
      </w:r>
      <w:bookmarkEnd w:id="60"/>
      <w:bookmarkEnd w:id="61"/>
    </w:p>
    <w:p>
      <w:pPr>
        <w:pStyle w:val="26"/>
        <w:spacing w:before="0" w:beforeAutospacing="0" w:after="0" w:afterAutospacing="0" w:line="360" w:lineRule="auto"/>
        <w:ind w:firstLine="420" w:firstLineChars="20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pPr>
        <w:pStyle w:val="26"/>
        <w:spacing w:before="0" w:beforeAutospacing="0" w:after="0" w:afterAutospacing="0" w:line="360" w:lineRule="auto"/>
        <w:ind w:left="360"/>
        <w:rPr>
          <w:sz w:val="21"/>
          <w:szCs w:val="18"/>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9"/>
          <w:jc w:val="center"/>
        </w:pPr>
        <w:r>
          <w:fldChar w:fldCharType="begin"/>
        </w:r>
        <w:r>
          <w:instrText xml:space="preserve">PAGE   \* MERGEFORMAT</w:instrText>
        </w:r>
        <w:r>
          <w:fldChar w:fldCharType="separate"/>
        </w:r>
        <w:r>
          <w:rPr>
            <w:lang w:val="zh-CN"/>
          </w:rPr>
          <w:t>4</w:t>
        </w:r>
        <w: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20FC0"/>
    <w:multiLevelType w:val="singleLevel"/>
    <w:tmpl w:val="BFA20FC0"/>
    <w:lvl w:ilvl="0" w:tentative="0">
      <w:start w:val="1"/>
      <w:numFmt w:val="decimal"/>
      <w:suff w:val="nothing"/>
      <w:lvlText w:val="%1、"/>
      <w:lvlJc w:val="left"/>
    </w:lvl>
  </w:abstractNum>
  <w:abstractNum w:abstractNumId="1">
    <w:nsid w:val="07267D55"/>
    <w:multiLevelType w:val="multilevel"/>
    <w:tmpl w:val="07267D55"/>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785"/>
        </w:tabs>
        <w:ind w:left="1785" w:hanging="94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621C5A"/>
    <w:multiLevelType w:val="multilevel"/>
    <w:tmpl w:val="09621C5A"/>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6856AC"/>
    <w:multiLevelType w:val="multilevel"/>
    <w:tmpl w:val="0B6856AC"/>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88"/>
        </w:tabs>
        <w:ind w:left="1288"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6B02D1"/>
    <w:multiLevelType w:val="multilevel"/>
    <w:tmpl w:val="0D6B02D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461977"/>
    <w:multiLevelType w:val="multilevel"/>
    <w:tmpl w:val="0F4619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B45208"/>
    <w:multiLevelType w:val="multilevel"/>
    <w:tmpl w:val="27B45208"/>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7">
    <w:nsid w:val="2B4B1558"/>
    <w:multiLevelType w:val="multilevel"/>
    <w:tmpl w:val="2B4B155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0E795F"/>
    <w:multiLevelType w:val="multilevel"/>
    <w:tmpl w:val="3A0E795F"/>
    <w:lvl w:ilvl="0" w:tentative="0">
      <w:start w:val="1"/>
      <w:numFmt w:val="decimal"/>
      <w:lvlText w:val="（%1）"/>
      <w:lvlJc w:val="left"/>
      <w:pPr>
        <w:tabs>
          <w:tab w:val="left" w:pos="945"/>
        </w:tabs>
        <w:ind w:left="945" w:hanging="94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365"/>
        </w:tabs>
        <w:ind w:left="1365" w:hanging="945"/>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9">
    <w:nsid w:val="3E017B65"/>
    <w:multiLevelType w:val="multilevel"/>
    <w:tmpl w:val="3E017B65"/>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0">
    <w:nsid w:val="47CA563B"/>
    <w:multiLevelType w:val="multilevel"/>
    <w:tmpl w:val="47CA563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1BC5111"/>
    <w:multiLevelType w:val="multilevel"/>
    <w:tmpl w:val="51BC5111"/>
    <w:lvl w:ilvl="0" w:tentative="0">
      <w:start w:val="1"/>
      <w:numFmt w:val="decimal"/>
      <w:lvlText w:val="（%1）"/>
      <w:lvlJc w:val="left"/>
      <w:pPr>
        <w:tabs>
          <w:tab w:val="left" w:pos="1142"/>
        </w:tabs>
        <w:ind w:left="1142" w:hanging="720"/>
      </w:pPr>
      <w:rPr>
        <w:rFonts w:hint="eastAsia"/>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2">
    <w:nsid w:val="54AC1FA4"/>
    <w:multiLevelType w:val="multilevel"/>
    <w:tmpl w:val="54AC1FA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365"/>
        </w:tabs>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CA26C01"/>
    <w:multiLevelType w:val="multilevel"/>
    <w:tmpl w:val="5CA26C01"/>
    <w:lvl w:ilvl="0" w:tentative="0">
      <w:start w:val="1"/>
      <w:numFmt w:val="decimal"/>
      <w:lvlText w:val="%1)"/>
      <w:lvlJc w:val="left"/>
      <w:pPr>
        <w:tabs>
          <w:tab w:val="left" w:pos="2040"/>
        </w:tabs>
        <w:ind w:left="2040" w:hanging="420"/>
      </w:pPr>
      <w:rPr>
        <w:rFonts w:hint="default"/>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14">
    <w:nsid w:val="60A0283E"/>
    <w:multiLevelType w:val="multilevel"/>
    <w:tmpl w:val="60A0283E"/>
    <w:lvl w:ilvl="0" w:tentative="0">
      <w:start w:val="1"/>
      <w:numFmt w:val="decimal"/>
      <w:lvlText w:val="（%1）"/>
      <w:lvlJc w:val="left"/>
      <w:pPr>
        <w:tabs>
          <w:tab w:val="left" w:pos="1560"/>
        </w:tabs>
        <w:ind w:left="1560" w:hanging="7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
  </w:num>
  <w:num w:numId="3">
    <w:abstractNumId w:val="7"/>
  </w:num>
  <w:num w:numId="4">
    <w:abstractNumId w:val="4"/>
  </w:num>
  <w:num w:numId="5">
    <w:abstractNumId w:val="10"/>
  </w:num>
  <w:num w:numId="6">
    <w:abstractNumId w:val="3"/>
  </w:num>
  <w:num w:numId="7">
    <w:abstractNumId w:val="14"/>
  </w:num>
  <w:num w:numId="8">
    <w:abstractNumId w:val="0"/>
  </w:num>
  <w:num w:numId="9">
    <w:abstractNumId w:val="11"/>
  </w:num>
  <w:num w:numId="10">
    <w:abstractNumId w:val="5"/>
  </w:num>
  <w:num w:numId="11">
    <w:abstractNumId w:val="12"/>
  </w:num>
  <w:num w:numId="12">
    <w:abstractNumId w:val="8"/>
  </w:num>
  <w:num w:numId="13">
    <w:abstractNumId w:val="6"/>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000056AA"/>
    <w:rsid w:val="00037C7F"/>
    <w:rsid w:val="00043304"/>
    <w:rsid w:val="000A3350"/>
    <w:rsid w:val="000B682B"/>
    <w:rsid w:val="000F00F7"/>
    <w:rsid w:val="0012255B"/>
    <w:rsid w:val="00133444"/>
    <w:rsid w:val="001514E1"/>
    <w:rsid w:val="00156E9E"/>
    <w:rsid w:val="0016016B"/>
    <w:rsid w:val="001902EC"/>
    <w:rsid w:val="001D0B0B"/>
    <w:rsid w:val="001D6E5F"/>
    <w:rsid w:val="001F6334"/>
    <w:rsid w:val="00216799"/>
    <w:rsid w:val="00247ACF"/>
    <w:rsid w:val="00254E31"/>
    <w:rsid w:val="00283519"/>
    <w:rsid w:val="00296091"/>
    <w:rsid w:val="002A5CCF"/>
    <w:rsid w:val="002B0C40"/>
    <w:rsid w:val="002B4B30"/>
    <w:rsid w:val="002E06B8"/>
    <w:rsid w:val="0032599B"/>
    <w:rsid w:val="003541D4"/>
    <w:rsid w:val="003601F5"/>
    <w:rsid w:val="00363926"/>
    <w:rsid w:val="00384FE4"/>
    <w:rsid w:val="0038740B"/>
    <w:rsid w:val="003B04EA"/>
    <w:rsid w:val="003B4F9D"/>
    <w:rsid w:val="003F00CF"/>
    <w:rsid w:val="003F7ECF"/>
    <w:rsid w:val="0040408D"/>
    <w:rsid w:val="00440193"/>
    <w:rsid w:val="004610EB"/>
    <w:rsid w:val="004B368A"/>
    <w:rsid w:val="004E1946"/>
    <w:rsid w:val="00501E07"/>
    <w:rsid w:val="00537B92"/>
    <w:rsid w:val="00541A07"/>
    <w:rsid w:val="00555D81"/>
    <w:rsid w:val="00561E24"/>
    <w:rsid w:val="005654DE"/>
    <w:rsid w:val="00593BC4"/>
    <w:rsid w:val="005C2BE5"/>
    <w:rsid w:val="00636278"/>
    <w:rsid w:val="00643C9C"/>
    <w:rsid w:val="00644EB6"/>
    <w:rsid w:val="00646770"/>
    <w:rsid w:val="0067700B"/>
    <w:rsid w:val="006B159A"/>
    <w:rsid w:val="006E1106"/>
    <w:rsid w:val="007006AB"/>
    <w:rsid w:val="007730A8"/>
    <w:rsid w:val="007779E8"/>
    <w:rsid w:val="00793569"/>
    <w:rsid w:val="007C27BD"/>
    <w:rsid w:val="007D1359"/>
    <w:rsid w:val="008024D6"/>
    <w:rsid w:val="008126CE"/>
    <w:rsid w:val="0084062B"/>
    <w:rsid w:val="00853F5F"/>
    <w:rsid w:val="0085736C"/>
    <w:rsid w:val="008733A8"/>
    <w:rsid w:val="00883DEE"/>
    <w:rsid w:val="0088629E"/>
    <w:rsid w:val="00887A73"/>
    <w:rsid w:val="00892045"/>
    <w:rsid w:val="008B2593"/>
    <w:rsid w:val="00931F77"/>
    <w:rsid w:val="0097798A"/>
    <w:rsid w:val="00986D8E"/>
    <w:rsid w:val="009D5310"/>
    <w:rsid w:val="00AA5B16"/>
    <w:rsid w:val="00AA7A6F"/>
    <w:rsid w:val="00AC42D9"/>
    <w:rsid w:val="00AE1A02"/>
    <w:rsid w:val="00B52ECD"/>
    <w:rsid w:val="00B5481A"/>
    <w:rsid w:val="00B7606D"/>
    <w:rsid w:val="00B81A93"/>
    <w:rsid w:val="00BB5F85"/>
    <w:rsid w:val="00C1193B"/>
    <w:rsid w:val="00C21E52"/>
    <w:rsid w:val="00C30B2B"/>
    <w:rsid w:val="00C500FF"/>
    <w:rsid w:val="00CA24B6"/>
    <w:rsid w:val="00CA3A35"/>
    <w:rsid w:val="00CD329C"/>
    <w:rsid w:val="00D30DC1"/>
    <w:rsid w:val="00DE3686"/>
    <w:rsid w:val="00E441F7"/>
    <w:rsid w:val="00F26D43"/>
    <w:rsid w:val="00F32D99"/>
    <w:rsid w:val="00F6783F"/>
    <w:rsid w:val="00F82615"/>
    <w:rsid w:val="00F95818"/>
    <w:rsid w:val="00FC7101"/>
    <w:rsid w:val="00FE42F6"/>
    <w:rsid w:val="07B3448D"/>
    <w:rsid w:val="1FFA0283"/>
    <w:rsid w:val="37F1CD0D"/>
    <w:rsid w:val="397F52E6"/>
    <w:rsid w:val="39FFAB10"/>
    <w:rsid w:val="3FF933BD"/>
    <w:rsid w:val="59F33C55"/>
    <w:rsid w:val="5EBF155C"/>
    <w:rsid w:val="5F3E1A3E"/>
    <w:rsid w:val="5FCA3664"/>
    <w:rsid w:val="5FEC1F39"/>
    <w:rsid w:val="5FEFC1CA"/>
    <w:rsid w:val="65D9F093"/>
    <w:rsid w:val="65FF82E8"/>
    <w:rsid w:val="676E017C"/>
    <w:rsid w:val="6FB76796"/>
    <w:rsid w:val="6FCFB266"/>
    <w:rsid w:val="6FFAEF91"/>
    <w:rsid w:val="72FD117E"/>
    <w:rsid w:val="75ED3246"/>
    <w:rsid w:val="77CE62F0"/>
    <w:rsid w:val="77DAD0E0"/>
    <w:rsid w:val="7B67225B"/>
    <w:rsid w:val="7C5CFEF0"/>
    <w:rsid w:val="7FF3B8DD"/>
    <w:rsid w:val="91DC86CA"/>
    <w:rsid w:val="A13BAC23"/>
    <w:rsid w:val="AB3DBA6C"/>
    <w:rsid w:val="AEF5DF22"/>
    <w:rsid w:val="B2EFA353"/>
    <w:rsid w:val="B332C0D3"/>
    <w:rsid w:val="B7F1979B"/>
    <w:rsid w:val="BFFF6C52"/>
    <w:rsid w:val="DE5FEC8C"/>
    <w:rsid w:val="DF3DCF1E"/>
    <w:rsid w:val="DFF71CC5"/>
    <w:rsid w:val="E3F411CA"/>
    <w:rsid w:val="F2FE4837"/>
    <w:rsid w:val="FBFFD894"/>
    <w:rsid w:val="FD5FDAD1"/>
    <w:rsid w:val="FDF601D8"/>
    <w:rsid w:val="FF57E2AC"/>
    <w:rsid w:val="FFF7F288"/>
    <w:rsid w:val="FFFFBD72"/>
    <w:rsid w:val="FFFFC2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8"/>
    <w:qFormat/>
    <w:uiPriority w:val="0"/>
    <w:pPr>
      <w:keepNext/>
      <w:widowControl/>
      <w:spacing w:line="360" w:lineRule="auto"/>
      <w:jc w:val="center"/>
      <w:outlineLvl w:val="3"/>
    </w:pPr>
    <w:rPr>
      <w:rFonts w:ascii="宋体" w:hAnsi="宋体" w:eastAsia="宋体" w:cs="Times New Roman"/>
      <w:kern w:val="0"/>
      <w:sz w:val="20"/>
      <w:szCs w:val="20"/>
    </w:rPr>
  </w:style>
  <w:style w:type="paragraph" w:styleId="6">
    <w:name w:val="heading 5"/>
    <w:basedOn w:val="1"/>
    <w:next w:val="1"/>
    <w:link w:val="55"/>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9">
    <w:name w:val="Document Map"/>
    <w:basedOn w:val="1"/>
    <w:link w:val="51"/>
    <w:qFormat/>
    <w:uiPriority w:val="0"/>
    <w:pPr>
      <w:shd w:val="clear" w:color="auto" w:fill="000080"/>
    </w:pPr>
    <w:rPr>
      <w:rFonts w:ascii="Times New Roman" w:hAnsi="Times New Roman" w:eastAsia="宋体" w:cs="Times New Roman"/>
      <w:szCs w:val="24"/>
    </w:rPr>
  </w:style>
  <w:style w:type="paragraph" w:styleId="10">
    <w:name w:val="annotation text"/>
    <w:basedOn w:val="1"/>
    <w:link w:val="40"/>
    <w:qFormat/>
    <w:uiPriority w:val="0"/>
    <w:pPr>
      <w:jc w:val="left"/>
    </w:pPr>
    <w:rPr>
      <w:rFonts w:ascii="Times New Roman" w:hAnsi="Times New Roman" w:eastAsia="宋体" w:cs="Times New Roman"/>
      <w:szCs w:val="24"/>
    </w:rPr>
  </w:style>
  <w:style w:type="paragraph" w:styleId="11">
    <w:name w:val="Body Text"/>
    <w:basedOn w:val="1"/>
    <w:link w:val="44"/>
    <w:unhideWhenUsed/>
    <w:qFormat/>
    <w:uiPriority w:val="0"/>
    <w:pPr>
      <w:spacing w:after="120"/>
    </w:pPr>
  </w:style>
  <w:style w:type="paragraph" w:styleId="12">
    <w:name w:val="Body Text Indent"/>
    <w:basedOn w:val="1"/>
    <w:link w:val="42"/>
    <w:qFormat/>
    <w:uiPriority w:val="0"/>
    <w:pPr>
      <w:snapToGrid w:val="0"/>
      <w:ind w:left="368" w:firstLine="420"/>
    </w:pPr>
    <w:rPr>
      <w:rFonts w:ascii="宋体" w:hAnsi="宋体" w:eastAsia="宋体" w:cs="Times New Roman"/>
      <w:szCs w:val="20"/>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49"/>
    <w:qFormat/>
    <w:uiPriority w:val="0"/>
    <w:rPr>
      <w:rFonts w:ascii="宋体" w:hAnsi="Courier New" w:eastAsia="宋体" w:cs="Times New Roman"/>
      <w:szCs w:val="20"/>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52"/>
    <w:qFormat/>
    <w:uiPriority w:val="0"/>
    <w:pPr>
      <w:ind w:left="100" w:leftChars="2500"/>
    </w:pPr>
    <w:rPr>
      <w:rFonts w:ascii="宋体" w:hAnsi="宋体" w:eastAsia="宋体" w:cs="Times New Roman"/>
      <w:color w:val="000000"/>
      <w:szCs w:val="21"/>
    </w:rPr>
  </w:style>
  <w:style w:type="paragraph" w:styleId="18">
    <w:name w:val="Balloon Text"/>
    <w:basedOn w:val="1"/>
    <w:link w:val="41"/>
    <w:unhideWhenUsed/>
    <w:qFormat/>
    <w:uiPriority w:val="0"/>
    <w:rPr>
      <w:sz w:val="18"/>
      <w:szCs w:val="18"/>
    </w:rPr>
  </w:style>
  <w:style w:type="paragraph" w:styleId="19">
    <w:name w:val="footer"/>
    <w:basedOn w:val="1"/>
    <w:link w:val="4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toc 1"/>
    <w:basedOn w:val="1"/>
    <w:next w:val="1"/>
    <w:qFormat/>
    <w:uiPriority w:val="39"/>
    <w:rPr>
      <w:rFonts w:ascii="Times New Roman" w:hAnsi="Times New Roman" w:eastAsia="宋体" w:cs="Times New Roman"/>
      <w:b/>
      <w:szCs w:val="20"/>
    </w:rPr>
  </w:style>
  <w:style w:type="paragraph" w:styleId="22">
    <w:name w:val="toc 4"/>
    <w:basedOn w:val="1"/>
    <w:next w:val="1"/>
    <w:qFormat/>
    <w:uiPriority w:val="0"/>
    <w:pPr>
      <w:ind w:left="1260" w:leftChars="600"/>
    </w:pPr>
    <w:rPr>
      <w:rFonts w:ascii="Times New Roman" w:hAnsi="Times New Roman" w:eastAsia="宋体" w:cs="Times New Roman"/>
      <w:szCs w:val="24"/>
    </w:rPr>
  </w:style>
  <w:style w:type="paragraph" w:styleId="23">
    <w:name w:val="toc 6"/>
    <w:basedOn w:val="1"/>
    <w:next w:val="1"/>
    <w:qFormat/>
    <w:uiPriority w:val="0"/>
    <w:pPr>
      <w:ind w:left="2100" w:leftChars="1000"/>
    </w:pPr>
    <w:rPr>
      <w:rFonts w:ascii="Times New Roman" w:hAnsi="Times New Roman" w:eastAsia="宋体" w:cs="Times New Roman"/>
      <w:szCs w:val="24"/>
    </w:rPr>
  </w:style>
  <w:style w:type="paragraph" w:styleId="24">
    <w:name w:val="toc 2"/>
    <w:basedOn w:val="1"/>
    <w:next w:val="1"/>
    <w:qFormat/>
    <w:uiPriority w:val="39"/>
    <w:pPr>
      <w:ind w:left="420" w:leftChars="200"/>
    </w:pPr>
    <w:rPr>
      <w:rFonts w:ascii="Times New Roman" w:hAnsi="Times New Roman" w:eastAsia="宋体" w:cs="Times New Roman"/>
      <w:szCs w:val="24"/>
    </w:rPr>
  </w:style>
  <w:style w:type="paragraph" w:styleId="25">
    <w:name w:val="toc 9"/>
    <w:basedOn w:val="1"/>
    <w:next w:val="1"/>
    <w:qFormat/>
    <w:uiPriority w:val="0"/>
    <w:pPr>
      <w:ind w:left="3360" w:leftChars="1600"/>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annotation subject"/>
    <w:basedOn w:val="10"/>
    <w:next w:val="10"/>
    <w:link w:val="48"/>
    <w:qFormat/>
    <w:uiPriority w:val="0"/>
    <w:rPr>
      <w:b/>
      <w:bCs/>
    </w:rPr>
  </w:style>
  <w:style w:type="character" w:styleId="30">
    <w:name w:val="Strong"/>
    <w:qFormat/>
    <w:uiPriority w:val="0"/>
    <w:rPr>
      <w:b/>
      <w:bCs/>
    </w:rPr>
  </w:style>
  <w:style w:type="character" w:styleId="31">
    <w:name w:val="page number"/>
    <w:qFormat/>
    <w:uiPriority w:val="0"/>
    <w:rPr>
      <w:rFonts w:cs="Times New Roman"/>
    </w:rPr>
  </w:style>
  <w:style w:type="character" w:styleId="32">
    <w:name w:val="FollowedHyperlink"/>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basedOn w:val="29"/>
    <w:link w:val="2"/>
    <w:qFormat/>
    <w:uiPriority w:val="0"/>
    <w:rPr>
      <w:rFonts w:ascii="Times New Roman" w:hAnsi="Times New Roman" w:eastAsia="宋体" w:cs="Times New Roman"/>
      <w:b/>
      <w:bCs/>
      <w:kern w:val="44"/>
      <w:sz w:val="44"/>
      <w:szCs w:val="44"/>
    </w:rPr>
  </w:style>
  <w:style w:type="character" w:customStyle="1" w:styleId="36">
    <w:name w:val="标题 2 Char"/>
    <w:basedOn w:val="29"/>
    <w:link w:val="3"/>
    <w:qFormat/>
    <w:uiPriority w:val="0"/>
    <w:rPr>
      <w:rFonts w:ascii="Arial" w:hAnsi="Arial" w:eastAsia="黑体" w:cs="Times New Roman"/>
      <w:b/>
      <w:bCs/>
      <w:sz w:val="32"/>
      <w:szCs w:val="32"/>
    </w:rPr>
  </w:style>
  <w:style w:type="character" w:customStyle="1" w:styleId="37">
    <w:name w:val="标题 3 Char"/>
    <w:basedOn w:val="29"/>
    <w:link w:val="4"/>
    <w:qFormat/>
    <w:uiPriority w:val="0"/>
    <w:rPr>
      <w:rFonts w:ascii="Times New Roman" w:hAnsi="Times New Roman" w:eastAsia="宋体" w:cs="Times New Roman"/>
      <w:b/>
      <w:bCs/>
      <w:sz w:val="32"/>
      <w:szCs w:val="32"/>
    </w:rPr>
  </w:style>
  <w:style w:type="character" w:customStyle="1" w:styleId="38">
    <w:name w:val="标题 4 Char"/>
    <w:basedOn w:val="29"/>
    <w:link w:val="5"/>
    <w:qFormat/>
    <w:uiPriority w:val="0"/>
    <w:rPr>
      <w:rFonts w:ascii="宋体" w:hAnsi="宋体" w:eastAsia="宋体" w:cs="Times New Roman"/>
      <w:kern w:val="0"/>
      <w:sz w:val="20"/>
      <w:szCs w:val="20"/>
    </w:rPr>
  </w:style>
  <w:style w:type="paragraph" w:customStyle="1" w:styleId="39">
    <w:name w:val="列出段落1"/>
    <w:basedOn w:val="1"/>
    <w:qFormat/>
    <w:uiPriority w:val="0"/>
    <w:pPr>
      <w:ind w:firstLine="420" w:firstLineChars="200"/>
    </w:pPr>
    <w:rPr>
      <w:rFonts w:ascii="Times New Roman" w:hAnsi="Times New Roman" w:eastAsia="宋体" w:cs="Times New Roman"/>
      <w:szCs w:val="24"/>
    </w:rPr>
  </w:style>
  <w:style w:type="character" w:customStyle="1" w:styleId="40">
    <w:name w:val="批注文字 Char"/>
    <w:basedOn w:val="29"/>
    <w:link w:val="10"/>
    <w:qFormat/>
    <w:uiPriority w:val="0"/>
    <w:rPr>
      <w:rFonts w:ascii="Times New Roman" w:hAnsi="Times New Roman" w:eastAsia="宋体" w:cs="Times New Roman"/>
      <w:szCs w:val="24"/>
    </w:rPr>
  </w:style>
  <w:style w:type="character" w:customStyle="1" w:styleId="41">
    <w:name w:val="批注框文本 Char"/>
    <w:basedOn w:val="29"/>
    <w:link w:val="18"/>
    <w:qFormat/>
    <w:uiPriority w:val="0"/>
    <w:rPr>
      <w:sz w:val="18"/>
      <w:szCs w:val="18"/>
    </w:rPr>
  </w:style>
  <w:style w:type="character" w:customStyle="1" w:styleId="42">
    <w:name w:val="正文文本缩进 Char"/>
    <w:basedOn w:val="29"/>
    <w:link w:val="12"/>
    <w:qFormat/>
    <w:uiPriority w:val="0"/>
    <w:rPr>
      <w:rFonts w:ascii="宋体" w:hAnsi="宋体" w:eastAsia="宋体" w:cs="Times New Roman"/>
      <w:szCs w:val="20"/>
    </w:rPr>
  </w:style>
  <w:style w:type="paragraph" w:styleId="43">
    <w:name w:val="List Paragraph"/>
    <w:basedOn w:val="1"/>
    <w:qFormat/>
    <w:uiPriority w:val="34"/>
    <w:pPr>
      <w:ind w:firstLine="420" w:firstLineChars="200"/>
    </w:pPr>
  </w:style>
  <w:style w:type="character" w:customStyle="1" w:styleId="44">
    <w:name w:val="正文文本 Char"/>
    <w:basedOn w:val="29"/>
    <w:link w:val="11"/>
    <w:qFormat/>
    <w:uiPriority w:val="0"/>
  </w:style>
  <w:style w:type="character" w:customStyle="1" w:styleId="45">
    <w:name w:val="页眉 Char"/>
    <w:basedOn w:val="29"/>
    <w:link w:val="20"/>
    <w:qFormat/>
    <w:uiPriority w:val="0"/>
    <w:rPr>
      <w:rFonts w:ascii="Times New Roman" w:hAnsi="Times New Roman" w:eastAsia="宋体" w:cs="Times New Roman"/>
      <w:sz w:val="18"/>
      <w:szCs w:val="18"/>
    </w:rPr>
  </w:style>
  <w:style w:type="paragraph" w:customStyle="1" w:styleId="46">
    <w:name w:val="正文an"/>
    <w:basedOn w:val="1"/>
    <w:qFormat/>
    <w:uiPriority w:val="0"/>
    <w:pPr>
      <w:adjustRightInd w:val="0"/>
      <w:snapToGrid w:val="0"/>
      <w:spacing w:line="300" w:lineRule="auto"/>
    </w:pPr>
    <w:rPr>
      <w:rFonts w:ascii="Arial Narrow" w:hAnsi="Arial Narrow" w:eastAsia="楷体_GB2312" w:cs="Times New Roman"/>
      <w:sz w:val="26"/>
      <w:szCs w:val="24"/>
    </w:rPr>
  </w:style>
  <w:style w:type="character" w:customStyle="1" w:styleId="47">
    <w:name w:val="页脚 Char"/>
    <w:basedOn w:val="29"/>
    <w:link w:val="19"/>
    <w:qFormat/>
    <w:uiPriority w:val="99"/>
    <w:rPr>
      <w:rFonts w:ascii="Times New Roman" w:hAnsi="Times New Roman" w:eastAsia="宋体" w:cs="Times New Roman"/>
      <w:sz w:val="18"/>
      <w:szCs w:val="18"/>
    </w:rPr>
  </w:style>
  <w:style w:type="character" w:customStyle="1" w:styleId="48">
    <w:name w:val="批注主题 Char"/>
    <w:basedOn w:val="40"/>
    <w:link w:val="27"/>
    <w:qFormat/>
    <w:uiPriority w:val="0"/>
    <w:rPr>
      <w:rFonts w:ascii="Times New Roman" w:hAnsi="Times New Roman" w:eastAsia="宋体" w:cs="Times New Roman"/>
      <w:b/>
      <w:bCs/>
      <w:szCs w:val="24"/>
    </w:rPr>
  </w:style>
  <w:style w:type="character" w:customStyle="1" w:styleId="49">
    <w:name w:val="纯文本 Char"/>
    <w:basedOn w:val="29"/>
    <w:link w:val="15"/>
    <w:qFormat/>
    <w:uiPriority w:val="0"/>
    <w:rPr>
      <w:rFonts w:ascii="宋体" w:hAnsi="Courier New" w:eastAsia="宋体" w:cs="Times New Roman"/>
      <w:szCs w:val="20"/>
    </w:rPr>
  </w:style>
  <w:style w:type="character" w:customStyle="1" w:styleId="50">
    <w:name w:val="p121"/>
    <w:qFormat/>
    <w:uiPriority w:val="0"/>
    <w:rPr>
      <w:rFonts w:hint="default"/>
      <w:sz w:val="24"/>
      <w:szCs w:val="24"/>
    </w:rPr>
  </w:style>
  <w:style w:type="character" w:customStyle="1" w:styleId="51">
    <w:name w:val="文档结构图 Char"/>
    <w:basedOn w:val="29"/>
    <w:link w:val="9"/>
    <w:qFormat/>
    <w:uiPriority w:val="0"/>
    <w:rPr>
      <w:rFonts w:ascii="Times New Roman" w:hAnsi="Times New Roman" w:eastAsia="宋体" w:cs="Times New Roman"/>
      <w:szCs w:val="24"/>
      <w:shd w:val="clear" w:color="auto" w:fill="000080"/>
    </w:rPr>
  </w:style>
  <w:style w:type="character" w:customStyle="1" w:styleId="52">
    <w:name w:val="日期 Char"/>
    <w:basedOn w:val="29"/>
    <w:link w:val="17"/>
    <w:qFormat/>
    <w:uiPriority w:val="0"/>
    <w:rPr>
      <w:rFonts w:ascii="宋体" w:hAnsi="宋体" w:eastAsia="宋体" w:cs="Times New Roman"/>
      <w:color w:val="000000"/>
      <w:szCs w:val="21"/>
    </w:rPr>
  </w:style>
  <w:style w:type="paragraph" w:customStyle="1" w:styleId="53">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5">
    <w:name w:val="标题 5 Char"/>
    <w:link w:val="6"/>
    <w:qFormat/>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ITSK.com</Company>
  <Pages>20</Pages>
  <Words>1680</Words>
  <Characters>9577</Characters>
  <Lines>79</Lines>
  <Paragraphs>22</Paragraphs>
  <TotalTime>8</TotalTime>
  <ScaleCrop>false</ScaleCrop>
  <LinksUpToDate>false</LinksUpToDate>
  <CharactersWithSpaces>11235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2022-04-15T15:59:00Z</dcterms:created>
  <dc:creator>HUANG-Zhou</dc:creator>
  <cp:lastModifiedBy>bss</cp:lastModifiedBy>
  <dcterms:modified xsi:type="dcterms:W3CDTF">2024-08-06T05:48:02Z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E43A6FB52BE32667C698A966EE18FB15</vt:lpwstr>
  </property>
</Properties>
</file>